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Budżet wydarzenia KGW</w:t>
      </w:r>
    </w:p>
    <w:p>
      <w:r>
        <w:t>Ręcznie wypełniany budżet jednego wydarzenia. Służy do planowania i porównania planu z wykonaniem; nie jest kalkulatorem, ewidencją księgową ani urzędowym rozliczeniem dotacji.</w:t>
      </w:r>
    </w:p>
    <w:p>
      <w:pPr>
        <w:spacing w:after="120"/>
      </w:pPr>
      <w:r>
        <w:rPr>
          <w:b/>
        </w:rPr>
        <w:t xml:space="preserve">Nazwa KGW: </w:t>
      </w:r>
      <w:r>
        <w:t>[uzupełnij]</w:t>
      </w:r>
    </w:p>
    <w:p>
      <w:pPr>
        <w:spacing w:after="120"/>
      </w:pPr>
      <w:r>
        <w:rPr>
          <w:b/>
        </w:rPr>
        <w:t xml:space="preserve">Nazwa wydarzenia i termin: </w:t>
      </w:r>
      <w:r>
        <w:t>[uzupełnij]</w:t>
      </w:r>
    </w:p>
    <w:p>
      <w:pPr>
        <w:spacing w:after="120"/>
      </w:pPr>
      <w:r>
        <w:rPr>
          <w:b/>
        </w:rPr>
        <w:t xml:space="preserve">Miejsce: </w:t>
      </w:r>
      <w:r>
        <w:t>[uzupełnij]</w:t>
      </w:r>
    </w:p>
    <w:p>
      <w:pPr>
        <w:spacing w:after="120"/>
      </w:pPr>
      <w:r>
        <w:rPr>
          <w:b/>
        </w:rPr>
        <w:t xml:space="preserve">Osoba sporządzająca i data wersji: </w:t>
      </w:r>
      <w:r>
        <w:t>[uzupełnij]</w:t>
      </w:r>
    </w:p>
    <w:p>
      <w:pPr>
        <w:spacing w:after="120"/>
      </w:pPr>
      <w:r>
        <w:rPr>
          <w:b/>
        </w:rPr>
        <w:t xml:space="preserve">Waluta rzeczywistych wpływów i wydatków pieniężnych: </w:t>
      </w:r>
      <w:r>
        <w:t>[uzupełnij]</w:t>
      </w:r>
    </w:p>
    <w:p>
      <w:pPr>
        <w:pStyle w:val="Heading1"/>
      </w:pPr>
      <w:r>
        <w:t>Wpływy pieniężne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rHeight w:val="418"/>
          <w:tblHeader/>
          <w:cantSplit/>
        </w:trPr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Źródło i status potwierdzenia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Plan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Wykonanie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Dokument lub uwaga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Wydatki pieniężne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rHeight w:val="418"/>
          <w:tblHeader/>
          <w:cantSplit/>
        </w:trPr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Pozycja i zakres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Plan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Wykonanie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Dokument lub zobowiązanie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Wkład niepieniężny poza bilansem gotówkowym</w:t>
      </w:r>
    </w:p>
    <w:p>
      <w:r>
        <w:t>Nie doliczaj tej wartości do pieniędzy dostępnych na opłacenie faktur. Dodaj kolejne wiersze tabel, jeśli są potrzebne.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rHeight w:val="418"/>
          <w:tblHeader/>
          <w:cantSplit/>
        </w:trPr>
        <w:tc>
          <w:tcPr>
            <w:tcW w:type="dxa" w:w="336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Rzecz lub praca i podmiot zapewniający</w:t>
            </w:r>
          </w:p>
        </w:tc>
        <w:tc>
          <w:tcPr>
            <w:tcW w:type="dxa" w:w="336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Wartość i sposób oszacowania</w:t>
            </w:r>
          </w:p>
        </w:tc>
        <w:tc>
          <w:tcPr>
            <w:tcW w:type="dxa" w:w="336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Potwierdzenie i warunki wykorzystania</w:t>
            </w:r>
          </w:p>
        </w:tc>
      </w:tr>
      <w:tr>
        <w:trPr>
          <w:cantSplit/>
          <w:trHeight w:val="418"/>
        </w:trPr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36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Podsumowanie do ręcznego obliczenia</w:t>
      </w:r>
    </w:p>
    <w:p>
      <w:pPr>
        <w:spacing w:after="120"/>
      </w:pPr>
      <w:r>
        <w:rPr>
          <w:b/>
        </w:rPr>
        <w:t xml:space="preserve">Suma wpływów plan / wykonanie: </w:t>
      </w:r>
      <w:r>
        <w:t>[uzupełnij]</w:t>
      </w:r>
    </w:p>
    <w:p>
      <w:pPr>
        <w:spacing w:after="120"/>
      </w:pPr>
      <w:r>
        <w:rPr>
          <w:b/>
        </w:rPr>
        <w:t xml:space="preserve">Suma wydatków plan / wykonanie: </w:t>
      </w:r>
      <w:r>
        <w:t>[uzupełnij]</w:t>
      </w:r>
    </w:p>
    <w:p>
      <w:pPr>
        <w:spacing w:after="120"/>
      </w:pPr>
      <w:r>
        <w:rPr>
          <w:b/>
        </w:rPr>
        <w:t xml:space="preserve">Różnica wpływy minus wydatki plan / wykonanie: </w:t>
      </w:r>
      <w:r>
        <w:t>[uzupełnij]</w:t>
      </w:r>
    </w:p>
    <w:p>
      <w:pPr>
        <w:spacing w:after="120"/>
      </w:pPr>
      <w:r>
        <w:rPr>
          <w:b/>
        </w:rPr>
        <w:t xml:space="preserve">Niepokryte zobowiązania i brakujące środki: </w:t>
      </w:r>
      <w:r>
        <w:t>[uzupełnij]</w:t>
      </w:r>
    </w:p>
    <w:p>
      <w:pPr>
        <w:spacing w:after="120"/>
      </w:pPr>
      <w:r>
        <w:rPr>
          <w:b/>
        </w:rPr>
        <w:t xml:space="preserve">Rezerwa zawarta w planie wydatków i sposób jej uruchomienia: </w:t>
      </w:r>
      <w:r>
        <w:t>[uzupełnij]</w:t>
      </w:r>
    </w:p>
    <w:p>
      <w:pPr>
        <w:spacing w:after="120"/>
      </w:pPr>
      <w:r>
        <w:rPr>
          <w:b/>
        </w:rPr>
        <w:t xml:space="preserve">Decyzja zatwierdzająca budżet zgodnie z zasadami koła i data: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Zbieraj oferty i potwierdzenia źródeł finansowania przed zatwierdzeniem imprezy. Odróżnij przyznaną dotację od złożonego wniosku oraz wpłaconą zaliczkę od deklaracji sponsora.</w:t>
      </w:r>
    </w:p>
    <w:p>
      <w:pPr>
        <w:pStyle w:val="ListBullet"/>
      </w:pPr>
      <w:r>
        <w:t>W tym planie przepływów wpisuj rzeczywiste kwoty otrzymywane i płacone, zwykle brutto. Ewentualny zwrot lub zapłatę VAT pokaż jako odrębny przepływ w odpowiednim terminie, jeśli dotyczy. Koszt po odliczeniu VAT można analizować osobno; nie zastępuj nim kwoty faktury faktycznie opłacanej z konta.</w:t>
      </w:r>
    </w:p>
    <w:p>
      <w:pPr>
        <w:pStyle w:val="ListBullet"/>
      </w:pPr>
      <w:r>
        <w:t>Każdy wydatek przyporządkuj do właściwego źródła finansowania w dokumentacji szczegółowej. Warunki dotacji sprawdza się osobno; wpisanie zakupu do budżetu nie czyni go kosztem kwalifikowalnym.</w:t>
      </w:r>
    </w:p>
    <w:p>
      <w:pPr>
        <w:pStyle w:val="ListBullet"/>
      </w:pPr>
      <w:r>
        <w:t>Wartość darowanych produktów, udostępnionego sprzętu i pracy społecznej pokaż oddzielnie od pieniędzy. Nie ujmuj tej samej pomocy ponownie jako wydatku gotówkowego. Wkład własny do projektu wyceniaj tylko zgodnie z zasadami danego naboru.</w:t>
      </w:r>
    </w:p>
    <w:p>
      <w:pPr>
        <w:pStyle w:val="ListBullet"/>
      </w:pPr>
      <w:r>
        <w:t>Rezerwę ujmij tylko raz. Jeżeli dodano ją jako pozycję planowanych wydatków, nie odejmuj jej ponownie w podsumowaniu. Po imprezie odróżnij wydatki już zapłacone od faktur i zobowiązań czekających na zapłatę.</w:t>
      </w:r>
    </w:p>
    <w:p>
      <w:pPr>
        <w:pStyle w:val="ListBullet"/>
      </w:pPr>
      <w:r>
        <w:t>Zachowaj kolejne wersje planu, dokumenty źródłowe i wyjaśnienie istotnych różnic. Budżet nie zastępuje dowodów księgowych, ewidencji sprzedaży, dokumentacji dotacyjnej ani decyzji uprawnionego organu koła.</w:t>
      </w:r>
    </w:p>
    <w:p>
      <w:pPr>
        <w:pStyle w:val="Heading1"/>
      </w:pPr>
      <w:r>
        <w:t>Przykład objaśniający</w:t>
      </w:r>
    </w:p>
    <w:p>
      <w:r>
        <w:t>Przykład wyłącznie fikcyjny: KGW Pod Lipą planuje 2000 zł potwierdzonych wpływów i 1850 zł wydatków, w tym 150 zł rezerwy. Planowana różnica wynosi 150 zł. Darowane kwiaty o oszacowanej wartości 80 zł wpisano tylko do wkładu niepieniężnego, nie do dostępnej gotówki.</w:t>
      </w:r>
    </w:p>
    <w:p>
      <w:pPr>
        <w:pStyle w:val="Heading1"/>
      </w:pPr>
      <w:r>
        <w:t>Podstawy do sprawdzenia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szkoleniakgw.pl/budzet-wydarzenia-kgw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 wydarzenia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