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Ewidencja wypożyczeń sprzętu KGW</w:t>
      </w:r>
    </w:p>
    <w:p>
      <w:r>
        <w:t>Wewnętrzny rejestr organizacyjny rzeczy. Nie zastępuje umów, protokołów stanu, wykazu środków trwałych ani ewidencji podatkowej przy odpłatnym udostępnianiu.</w:t>
      </w:r>
    </w:p>
    <w:p>
      <w:pPr>
        <w:spacing w:after="120"/>
      </w:pPr>
      <w:r>
        <w:rPr>
          <w:b/>
        </w:rPr>
        <w:t xml:space="preserve">Nazwa KGW: </w:t>
      </w:r>
      <w:r>
        <w:t>[uzupełnij]</w:t>
      </w:r>
    </w:p>
    <w:p>
      <w:pPr>
        <w:spacing w:after="120"/>
      </w:pPr>
      <w:r>
        <w:rPr>
          <w:b/>
        </w:rPr>
        <w:t xml:space="preserve">Okres rejestru: </w:t>
      </w:r>
      <w:r>
        <w:t>[uzupełnij]</w:t>
      </w:r>
    </w:p>
    <w:p>
      <w:pPr>
        <w:spacing w:after="120"/>
      </w:pPr>
      <w:r>
        <w:rPr>
          <w:b/>
        </w:rPr>
        <w:t xml:space="preserve">Osoba prowadząca: </w:t>
      </w:r>
      <w:r>
        <w:t>[uzupełnij]</w:t>
      </w:r>
    </w:p>
    <w:p>
      <w:pPr>
        <w:spacing w:after="120"/>
      </w:pPr>
      <w:r>
        <w:rPr>
          <w:b/>
        </w:rPr>
        <w:t xml:space="preserve">Miejsce przechowywania umów i protokołów: </w:t>
      </w:r>
      <w:r>
        <w:t>[uzupełnij]</w:t>
      </w:r>
    </w:p>
    <w:p>
      <w:pPr>
        <w:pStyle w:val="Heading1"/>
      </w:pPr>
      <w:r>
        <w:t>Wydania i zwroty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Przedmiot i numer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Odbierający i cel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Wydanie i plan zwrotu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Faktyczny zwrot i protokół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Sprawy do wyjaśnienia</w:t>
      </w:r>
    </w:p>
    <w:p>
      <w:pPr>
        <w:spacing w:after="120"/>
      </w:pPr>
      <w:r>
        <w:rPr>
          <w:b/>
        </w:rPr>
        <w:t xml:space="preserve">Sprzęt po terminie i data kontaktu z odbierającym: </w:t>
      </w:r>
      <w:r>
        <w:t>[uzupełnij]</w:t>
      </w:r>
    </w:p>
    <w:p>
      <w:pPr>
        <w:spacing w:after="120"/>
      </w:pPr>
      <w:r>
        <w:rPr>
          <w:b/>
        </w:rPr>
        <w:t xml:space="preserve">Braki, uszkodzenia i numer protokołu: </w:t>
      </w:r>
      <w:r>
        <w:t>[uzupełnij]</w:t>
      </w:r>
    </w:p>
    <w:p>
      <w:pPr>
        <w:spacing w:after="120"/>
      </w:pPr>
      <w:r>
        <w:rPr>
          <w:b/>
        </w:rPr>
        <w:t xml:space="preserve">Dalsze ustalenia, osoba i termin: </w:t>
      </w:r>
      <w:r>
        <w:t>[uzupełnij]</w:t>
      </w:r>
    </w:p>
    <w:p>
      <w:pPr>
        <w:spacing w:after="120"/>
      </w:pPr>
      <w:r>
        <w:rPr>
          <w:b/>
        </w:rPr>
        <w:t xml:space="preserve">Data przeglądu rejestru i podpis: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Powiążcie każdy wpis z konkretnym przedmiotem i dokumentem wydania. Dla kilku różnych zestawów nie używajcie jednego niejasnego opisu.</w:t>
      </w:r>
    </w:p>
    <w:p>
      <w:pPr>
        <w:pStyle w:val="ListBullet"/>
      </w:pPr>
      <w:r>
        <w:t>Dane kontaktowe odbiorcy przechowujcie w zabezpieczonej dokumentacji, a nie w publicznie wywieszonym rejestrze.</w:t>
      </w:r>
    </w:p>
    <w:p>
      <w:pPr>
        <w:pStyle w:val="ListBullet"/>
      </w:pPr>
      <w:r>
        <w:t>Rozróżnijcie nieodpłatne użyczenie i odpłatny najem. Rejestr nie nadaje kołu prawa do wynajmu i nie rozstrzyga skutków podatkowych.</w:t>
      </w:r>
    </w:p>
    <w:p>
      <w:pPr>
        <w:pStyle w:val="ListBullet"/>
      </w:pPr>
      <w:r>
        <w:t>Przy przekazaniu rzeczy z dotacji sprawdźcie umowę finansowania, okres związania celem i ewentualną konieczność zgody.</w:t>
      </w:r>
    </w:p>
    <w:p>
      <w:pPr>
        <w:pStyle w:val="ListBullet"/>
      </w:pPr>
      <w:r>
        <w:t>Dopiszcie faktyczny zwrot dopiero po odbiorze. Zastrzeżenia i dalsze ustalenia zachowajcie zamiast usuwać pierwotny wpis.</w:t>
      </w:r>
    </w:p>
    <w:p>
      <w:pPr>
        <w:pStyle w:val="Heading1"/>
      </w:pPr>
      <w:r>
        <w:t>Przykład objaśniający</w:t>
      </w:r>
    </w:p>
    <w:p>
      <w:r>
        <w:t>Przykład fikcyjny: termos KGW/12 wydano 4 maja na zajęcia koła, zwrot planowano 5 maja. Faktyczny zwrot 6 maja powiązano z protokołem 8/2026 i krótką notatką o opóźnieniu.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Kodeks cywilny, regulacje dotyczące najmu i użyczenia</w:t>
      </w:r>
    </w:p>
    <w:p>
      <w:pPr>
        <w:pStyle w:val="ListBullet"/>
      </w:pPr>
      <w:r>
        <w:t>Statut KGW oraz warunki właściwej dotacji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szkoleniakgw.pl/ewidencja-wypozyczen-sprzetu-kgw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wypożyczeń sprzętu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