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Harmonogram mycia i dezynfekcji KGW</w:t>
      </w:r>
    </w:p>
    <w:p>
      <w:r>
        <w:t>Pomoc do opracowania miejscowego planu higieny kuchni lub stoiska. Dobór metody, środka i częstości zależy od zastosowania oraz analizy zagrożeń. Wzór nie określa jednej chemii, stężenia ani czasu kontaktu dla wszystkich powierzchni.</w:t>
      </w:r>
    </w:p>
    <w:p>
      <w:pPr>
        <w:spacing w:after="120"/>
      </w:pPr>
      <w:r>
        <w:rPr>
          <w:b/>
        </w:rPr>
        <w:t xml:space="preserve">Nazwa KGW i pomieszczenie lub stoisko: </w:t>
      </w:r>
      <w:r>
        <w:t>[uzupełnij]</w:t>
      </w:r>
    </w:p>
    <w:p>
      <w:pPr>
        <w:spacing w:after="120"/>
      </w:pPr>
      <w:r>
        <w:rPr>
          <w:b/>
        </w:rPr>
        <w:t xml:space="preserve">Wersja planu i data przyjęcia: </w:t>
      </w:r>
      <w:r>
        <w:t>[uzupełnij]</w:t>
      </w:r>
    </w:p>
    <w:p>
      <w:pPr>
        <w:spacing w:after="120"/>
      </w:pPr>
      <w:r>
        <w:rPr>
          <w:b/>
        </w:rPr>
        <w:t xml:space="preserve">Osoba nadzorująca: </w:t>
      </w:r>
      <w:r>
        <w:t>[uzupełnij]</w:t>
      </w:r>
    </w:p>
    <w:p>
      <w:pPr>
        <w:spacing w:after="120"/>
      </w:pPr>
      <w:r>
        <w:rPr>
          <w:b/>
        </w:rPr>
        <w:t xml:space="preserve">Okres zapisów wykonania: </w:t>
      </w:r>
      <w:r>
        <w:t>[uzupełnij]</w:t>
      </w:r>
    </w:p>
    <w:p>
      <w:pPr>
        <w:spacing w:after="120"/>
      </w:pPr>
      <w:r>
        <w:rPr>
          <w:b/>
        </w:rPr>
        <w:t xml:space="preserve">Miejsce przechowywania szczegółowych instrukcji metod: </w:t>
      </w:r>
      <w:r>
        <w:t>[uzupełnij]</w:t>
      </w:r>
    </w:p>
    <w:p>
      <w:pPr>
        <w:pStyle w:val="Heading1"/>
      </w:pPr>
      <w:r>
        <w:t>Plan miejscowy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rHeight w:val="418"/>
          <w:tblHeader/>
          <w:cantSplit/>
        </w:trPr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Powierzchnia lub sprzęt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Metoda i numer instrukcji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Kiedy i jak często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Wykonuje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Jak sprawdzamy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Karta jednej metody do powielenia</w:t>
      </w:r>
    </w:p>
    <w:p>
      <w:pPr>
        <w:spacing w:after="120"/>
      </w:pPr>
      <w:r>
        <w:rPr>
          <w:b/>
        </w:rPr>
        <w:t xml:space="preserve">Numer instrukcji i zastosowanie: </w:t>
      </w:r>
      <w:r>
        <w:t>[uzupełnij]</w:t>
      </w:r>
    </w:p>
    <w:p>
      <w:pPr>
        <w:spacing w:after="120"/>
      </w:pPr>
      <w:r>
        <w:rPr>
          <w:b/>
        </w:rPr>
        <w:t xml:space="preserve">Etapy usunięcie zabrudzeń mycie płukanie dezynfekcja i dalsze czynności według instrukcji: </w:t>
      </w:r>
      <w:r>
        <w:t>[uzupełnij]</w:t>
      </w:r>
    </w:p>
    <w:p>
      <w:pPr>
        <w:spacing w:after="120"/>
      </w:pPr>
      <w:r>
        <w:rPr>
          <w:b/>
        </w:rPr>
        <w:t xml:space="preserve">Środek i dopuszczone zastosowanie: </w:t>
      </w:r>
      <w:r>
        <w:t>[uzupełnij]</w:t>
      </w:r>
    </w:p>
    <w:p>
      <w:pPr>
        <w:spacing w:after="120"/>
      </w:pPr>
      <w:r>
        <w:rPr>
          <w:b/>
        </w:rPr>
        <w:t xml:space="preserve">Stężenie sposób przygotowania roztworu i czas kontaktu z instrukcji: </w:t>
      </w:r>
      <w:r>
        <w:t>[uzupełnij]</w:t>
      </w:r>
    </w:p>
    <w:p>
      <w:pPr>
        <w:spacing w:after="120"/>
      </w:pPr>
      <w:r>
        <w:rPr>
          <w:b/>
        </w:rPr>
        <w:t xml:space="preserve">Temperatura i wymaganie płukania jeżeli dotyczą tej metody: </w:t>
      </w:r>
      <w:r>
        <w:t>[uzupełnij]</w:t>
      </w:r>
    </w:p>
    <w:p>
      <w:pPr>
        <w:spacing w:after="120"/>
      </w:pPr>
      <w:r>
        <w:rPr>
          <w:b/>
        </w:rPr>
        <w:t xml:space="preserve">Ochrona żywności środki ochrony osoby i bezpieczne przechowywanie chemii: </w:t>
      </w:r>
      <w:r>
        <w:t>[uzupełnij]</w:t>
      </w:r>
    </w:p>
    <w:p>
      <w:pPr>
        <w:pStyle w:val="Heading1"/>
      </w:pPr>
      <w:r>
        <w:t>Wykonanie i sprawdzenie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Data godzina i obiekt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Metoda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Osoba wykonująca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Wynik sprawdzenia i ewentualna poprawka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W planie uwzględnij powierzchnie kontaktujące się z żywnością, sprzęt, uchwyty, podłogi, urządzenia chłodnicze, sanitariaty i wyposażenie porządkowe odpowiednio do zakresu działalności. Mycie i dezynfekcja to różne czynności; sama dezynfekcja nie usuwa zabrudzeń.</w:t>
      </w:r>
    </w:p>
    <w:p>
      <w:pPr>
        <w:pStyle w:val="ListBullet"/>
      </w:pPr>
      <w:r>
        <w:t>Dla każdej metody ustal sekwencję zgodną z charakterystyką powierzchni i instrukcją środka. Gdy stosujesz produkt biobójczy, sprawdź jego dopuszczenie i dokładny zakres zastosowania, zwłaszcza przy kontakcie z żywnością.</w:t>
      </w:r>
    </w:p>
    <w:p>
      <w:pPr>
        <w:pStyle w:val="ListBullet"/>
      </w:pPr>
      <w:r>
        <w:t>Stężenie, czas kontaktu, temperaturę i potrzebę płukania odczytaj z aktualnej instrukcji danego produktu i metody. Nie skracaj czasu kontaktu i nie zwiększaj dawki na oko. Nie mieszaj preparatów; może to powodować niebezpieczne reakcje.</w:t>
      </w:r>
    </w:p>
    <w:p>
      <w:pPr>
        <w:pStyle w:val="ListBullet"/>
      </w:pPr>
      <w:r>
        <w:t>Zabezpiecz żywność i opakowania przed opryskiem, rozpryskiem i pozostałościami chemii. Sprzęt porządkowy do sanitariatów oddziel od sprzętu do stref żywności. Roztwory robocze oznacz i przygotowuj zgodnie z instrukcją.</w:t>
      </w:r>
    </w:p>
    <w:p>
      <w:pPr>
        <w:pStyle w:val="ListBullet"/>
      </w:pPr>
      <w:r>
        <w:t>Zapis wykonania sporządzaj po rzeczywistej czynności. Określ kontrolę adekwatną do ryzyka, na przykład oględziny i sprawdzenie procesu; sam podpis nie potwierdza skutecznej dezynfekcji. Gdy wynik jest nieprawidłowy, odnotuj ponowne wykonanie i sprawdzenie.</w:t>
      </w:r>
    </w:p>
    <w:p>
      <w:pPr>
        <w:pStyle w:val="ListBullet"/>
      </w:pPr>
      <w:r>
        <w:t>Formularz nie zastępuje instrukcji środka, szkolenia osób, analizy zagrożeń ani całego systemu GHP/GMP i HACCP. Przed użyciem dostosuj plan do rzeczywistej kuchni, asortymentu, podziału stref i zasad administratora obiektu.</w:t>
      </w:r>
    </w:p>
    <w:p>
      <w:pPr>
        <w:pStyle w:val="Heading1"/>
      </w:pPr>
      <w:r>
        <w:t>Przykład objaśniający</w:t>
      </w:r>
    </w:p>
    <w:p>
      <w:r>
        <w:t>Przykład wyłącznie fikcyjny: stół przygotowawczy S1; metoda M1 według miejscowej instrukcji; po zakończeniu pracy i przy zmianach wymagających czyszczenia według procedury. Wpis wykonania: 14 listopada 16.10, M1, Maria Lis; kontrola wykazała pozostałość zabrudzenia, dlatego powtórzono mycie i ocenę.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Rozporządzenie WE nr 852/2004 w sprawie higieny środków spożywczych art 5 oraz załącznik II w szczególności rozdziały I II i V</w:t>
      </w:r>
    </w:p>
    <w:p>
      <w:pPr>
        <w:pStyle w:val="ListBullet"/>
      </w:pPr>
      <w:r>
        <w:t>Rozporządzenie UE nr 528/2012 w sprawie udostępniania na rynku i stosowania produktów biobójczych w szczególności zasady stosowania zgodnie z warunkami pozwolenia i oznakowaniem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szkoleniakgw.pl/harmonogram-mycia-i-dezynfekcji-kgw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mycia i dezynfekcji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