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Karta podziału zadań KGW</w:t>
      </w:r>
    </w:p>
    <w:p>
      <w:r>
        <w:t>Robocze ustalenie zespołu organizującego wydarzenie. Pokazuje, kto prowadzi dane zadanie, co ma oddać i do kiedy. Nie jest umową o pracę, porozumieniem wolontariackim ani pełnomocnictwem do zaciągania zobowiązań.</w:t>
      </w:r>
    </w:p>
    <w:p>
      <w:pPr>
        <w:spacing w:after="120"/>
      </w:pPr>
      <w:r>
        <w:rPr>
          <w:b/>
        </w:rPr>
        <w:t xml:space="preserve">Nazwa KGW i wydarzenia: </w:t>
      </w:r>
      <w:r>
        <w:t>[uzupełnij]</w:t>
      </w:r>
    </w:p>
    <w:p>
      <w:pPr>
        <w:spacing w:after="120"/>
      </w:pPr>
      <w:r>
        <w:rPr>
          <w:b/>
        </w:rPr>
        <w:t xml:space="preserve">Termin wydarzenia: </w:t>
      </w:r>
      <w:r>
        <w:t>[uzupełnij]</w:t>
      </w:r>
    </w:p>
    <w:p>
      <w:pPr>
        <w:spacing w:after="120"/>
      </w:pPr>
      <w:r>
        <w:rPr>
          <w:b/>
        </w:rPr>
        <w:t xml:space="preserve">Koordynator i data wersji: </w:t>
      </w:r>
      <w:r>
        <w:t>[uzupełnij]</w:t>
      </w:r>
    </w:p>
    <w:p>
      <w:pPr>
        <w:spacing w:after="120"/>
      </w:pPr>
      <w:r>
        <w:rPr>
          <w:b/>
        </w:rPr>
        <w:t xml:space="preserve">Miejsce przechowywania aktualnej karty: </w:t>
      </w:r>
      <w:r>
        <w:t>[uzupełnij]</w:t>
      </w:r>
    </w:p>
    <w:p>
      <w:pPr>
        <w:spacing w:after="120"/>
      </w:pPr>
      <w:r>
        <w:rPr>
          <w:b/>
        </w:rPr>
        <w:t xml:space="preserve">Termin krótkiego przeglądu postępów: </w:t>
      </w:r>
      <w:r>
        <w:t>[uzupełnij]</w:t>
      </w:r>
    </w:p>
    <w:p>
      <w:pPr>
        <w:pStyle w:val="Heading1"/>
      </w:pPr>
      <w:r>
        <w:t>Podział pracy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rHeight w:val="418"/>
          <w:tblHeader/>
          <w:cantSplit/>
        </w:trPr>
        <w:tc>
          <w:tcPr>
            <w:tcW w:type="dxa" w:w="2016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Zadanie i gotowy rezultat</w:t>
            </w:r>
          </w:p>
        </w:tc>
        <w:tc>
          <w:tcPr>
            <w:tcW w:type="dxa" w:w="2016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Osoba prowadząca</w:t>
            </w:r>
          </w:p>
        </w:tc>
        <w:tc>
          <w:tcPr>
            <w:tcW w:type="dxa" w:w="2016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Zastępstwo</w:t>
            </w:r>
          </w:p>
        </w:tc>
        <w:tc>
          <w:tcPr>
            <w:tcW w:type="dxa" w:w="2016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Termin</w:t>
            </w:r>
          </w:p>
        </w:tc>
        <w:tc>
          <w:tcPr>
            <w:tcW w:type="dxa" w:w="2016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Kto i jak odbiera wykonanie</w:t>
            </w:r>
          </w:p>
        </w:tc>
      </w:tr>
      <w:tr>
        <w:trPr>
          <w:cantSplit/>
          <w:trHeight w:val="418"/>
        </w:trPr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Uzgodnienia zespołu</w:t>
      </w:r>
    </w:p>
    <w:p>
      <w:pPr>
        <w:spacing w:after="120"/>
      </w:pPr>
      <w:r>
        <w:rPr>
          <w:b/>
        </w:rPr>
        <w:t xml:space="preserve">Jak zgłaszamy opóźnienie lub brak możliwości wykonania: </w:t>
      </w:r>
      <w:r>
        <w:t>[uzupełnij]</w:t>
      </w:r>
    </w:p>
    <w:p>
      <w:pPr>
        <w:spacing w:after="120"/>
      </w:pPr>
      <w:r>
        <w:rPr>
          <w:b/>
        </w:rPr>
        <w:t xml:space="preserve">Kto zatwierdza zakupy i do jakiej kwoty według przyjętej decyzji: </w:t>
      </w:r>
      <w:r>
        <w:t>[uzupełnij]</w:t>
      </w:r>
    </w:p>
    <w:p>
      <w:pPr>
        <w:spacing w:after="120"/>
      </w:pPr>
      <w:r>
        <w:rPr>
          <w:b/>
        </w:rPr>
        <w:t xml:space="preserve">Zadania wymagające odrębnego uprawnienia lub umowy: </w:t>
      </w:r>
      <w:r>
        <w:t>[uzupełnij]</w:t>
      </w:r>
    </w:p>
    <w:p>
      <w:pPr>
        <w:spacing w:after="120"/>
      </w:pPr>
      <w:r>
        <w:rPr>
          <w:b/>
        </w:rPr>
        <w:t xml:space="preserve">Sposób potwierdzenia zapoznania się z przydziałem: </w:t>
      </w:r>
      <w:r>
        <w:t>[uzupełnij]</w:t>
      </w:r>
    </w:p>
    <w:p>
      <w:pPr>
        <w:pStyle w:val="Heading1"/>
      </w:pPr>
      <w:r>
        <w:t>Zamknięcie wydarzenia</w:t>
      </w:r>
    </w:p>
    <w:p>
      <w:pPr>
        <w:spacing w:after="120"/>
      </w:pPr>
      <w:r>
        <w:rPr>
          <w:b/>
        </w:rPr>
        <w:t xml:space="preserve">Osoba odbierająca salę i sprzęt: </w:t>
      </w:r>
      <w:r>
        <w:t>[uzupełnij]</w:t>
      </w:r>
    </w:p>
    <w:p>
      <w:pPr>
        <w:spacing w:after="120"/>
      </w:pPr>
      <w:r>
        <w:rPr>
          <w:b/>
        </w:rPr>
        <w:t xml:space="preserve">Osoba zbierająca dokumenty i rozliczenie: </w:t>
      </w:r>
      <w:r>
        <w:t>[uzupełnij]</w:t>
      </w:r>
    </w:p>
    <w:p>
      <w:pPr>
        <w:spacing w:after="120"/>
      </w:pPr>
      <w:r>
        <w:rPr>
          <w:b/>
        </w:rPr>
        <w:t xml:space="preserve">Osoba prowadząca podsumowanie i jego termin: </w:t>
      </w:r>
      <w:r>
        <w:t>[uzupełnij]</w:t>
      </w:r>
    </w:p>
    <w:p>
      <w:pPr>
        <w:pStyle w:val="Heading1"/>
        <w:pageBreakBefore/>
      </w:pPr>
      <w:r>
        <w:t>Instrukcja wypełnienia</w:t>
      </w:r>
    </w:p>
    <w:p>
      <w:r>
        <w:t>Tę część zachowaj jako pomoc. Przed podpisaniem formularza uzupełnij pola w nawiasach, usuń niewłaściwe warianty i sprawdź dokument na podstawie rzeczywistych danych.</w:t>
      </w:r>
    </w:p>
    <w:p>
      <w:pPr>
        <w:pStyle w:val="ListBullet"/>
      </w:pPr>
      <w:r>
        <w:t>Zapisuj rezultat, nie sam ogólny temat. Zamiast promocja wpisz na przykład przygotowanie plakatu zaakceptowanego przez koordynatora i przekazanie go do wskazanych miejsc.</w:t>
      </w:r>
    </w:p>
    <w:p>
      <w:pPr>
        <w:pStyle w:val="ListBullet"/>
      </w:pPr>
      <w:r>
        <w:t>Każde zadanie ma jedną osobę prowadzącą, nawet gdy wykonuje je kilka osób. Zastępstwo należy wcześniej uzgodnić; nie wpisuj nikogo jako odpowiedzialnego bez jego wiedzy.</w:t>
      </w:r>
    </w:p>
    <w:p>
      <w:pPr>
        <w:pStyle w:val="ListBullet"/>
      </w:pPr>
      <w:r>
        <w:t>Sprawdź liczbę zadań przypisanych jednej osobie i możliwość ich wykonania w tym samym czasie. W dniu imprezy odbieranie dostaw może kolidować z obsługą kasy lub kuchni.</w:t>
      </w:r>
    </w:p>
    <w:p>
      <w:pPr>
        <w:pStyle w:val="ListBullet"/>
      </w:pPr>
      <w:r>
        <w:t>Podział pracy nie upoważnia automatycznie do podpisywania umów lub zakupów w imieniu koła. Reprezentację, decyzje finansowe, szkolenia i dopuszczenie do określonych prac sprawdzaj osobno.</w:t>
      </w:r>
    </w:p>
    <w:p>
      <w:pPr>
        <w:pStyle w:val="ListBullet"/>
      </w:pPr>
      <w:r>
        <w:t>Nie wpisuj do karty publicznej prywatnych telefonów, informacji zdrowotnych ani danych dzieci. Kontakty robocze przechowuj oddzielnie, z dostępem ograniczonym do osób, które ich potrzebują.</w:t>
      </w:r>
    </w:p>
    <w:p>
      <w:pPr>
        <w:pStyle w:val="ListBullet"/>
      </w:pPr>
      <w:r>
        <w:t>Po imprezie odnotuj wykonanie i pozostawione sprawy, w tym zwrot kluczy, rozliczenie dokumentów, sprzątanie i zgłoszone usterki. Karta powinna obejmować także zamknięcie wydarzenia, nie tylko jego rozpoczęcie.</w:t>
      </w:r>
    </w:p>
    <w:p>
      <w:pPr>
        <w:pStyle w:val="Heading1"/>
      </w:pPr>
      <w:r>
        <w:t>Przykład objaśniający</w:t>
      </w:r>
    </w:p>
    <w:p>
      <w:r>
        <w:t>Przykład wyłącznie fikcyjny: zadanie Odbiór sali i zwrot kluczy; prowadząca Anna Nowak; zastępstwo Maria Lis; termin 21 listopada godz. 10.00; potwierdzenie podpisana karta odbioru z administratorem świetlicy.</w:t>
      </w:r>
    </w:p>
    <w:p>
      <w:pPr>
        <w:pStyle w:val="Heading1"/>
      </w:pPr>
      <w:r>
        <w:t>Podstawy do sprawdzenia</w:t>
      </w:r>
    </w:p>
    <w:p>
      <w:r>
        <w:t>Autorski wzór pomocniczy SzkoleniaKGW.pl. Wersja 16 października 2026. Nie jest urzędowym formularzem ani indywidualną opinią prawną. Odpowiedzialna osoba w kole dopasowuje go do statutu, rzeczywistego zdarzenia i warunków finansowania.</w:t>
      </w:r>
    </w:p>
    <w:p>
      <w:r>
        <w:t>Podgląd i powiązane porady: szkoleniakgw.pl/karta-podzialu-zadan-kgw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16 października 2026 |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podziału zadań KGW</dc:title>
  <dc:subject>Wzór pomocniczy do uzupełnienia</dc:subject>
  <dc:creator>Redakcja SzkoleniaKGW.pl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</cp:coreProperties>
</file>