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Karta rozmowy o przepisie rodzinnym</w:t>
      </w:r>
    </w:p>
    <w:p>
      <w:pPr>
        <w:spacing w:after="120"/>
      </w:pPr>
      <w:r>
        <w:t>Zapisujcie źródło, fakty i wątpliwości. Osobno ustalcie nagrywanie, kopiowanie materiałów oraz ich publikację. Ta karta nie jest zgodą ani umową licencyjną.</w:t>
      </w:r>
    </w:p>
    <w:p>
      <w:pPr>
        <w:pStyle w:val="Heading2"/>
        <w:spacing w:after="120"/>
      </w:pPr>
      <w:r>
        <w:t>Dane karty</w:t>
      </w:r>
    </w:p>
    <w:p>
      <w:pPr>
        <w:spacing w:after="160"/>
      </w:pPr>
      <w:r>
        <w:rPr>
          <w:b/>
        </w:rPr>
        <w:t xml:space="preserve">Identyfikator przepisu i nazwa używana przez rozmówczynię: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Data rozmowy i osoba prowadząca: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Oznaczenie rozmówczyni oraz preferowany podpis do publikacji: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Pochodzenie i używanie</w:t>
      </w:r>
    </w:p>
    <w:p>
      <w:pPr>
        <w:spacing w:after="160"/>
      </w:pPr>
      <w:r>
        <w:rPr>
          <w:b/>
        </w:rPr>
        <w:t xml:space="preserve">Od kogo pochodzi przepis i jak trafił do rozmówczyni: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Miejscowość oraz okres używania i podstawa datowania: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Okazje, liczba osób i znane warianty rodzinne: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Co trzeba zachować w oryginale</w:t>
      </w:r>
    </w:p>
    <w:p>
      <w:pPr>
        <w:spacing w:after="160"/>
      </w:pPr>
      <w:r>
        <w:rPr>
          <w:b/>
        </w:rPr>
        <w:t xml:space="preserve">Dawne miary, nazwy składników, naczynia i warunki przygotowania: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Numer zeszytu, kartki albo innego źródła i oznaczenie kopii: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Niepewności, nieczytelne miejsca i pytania do wyjaśnienia: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Zakres dalszych ustaleń</w:t>
      </w:r>
    </w:p>
    <w:p>
      <w:pPr>
        <w:spacing w:after="160"/>
      </w:pPr>
      <w:r>
        <w:rPr>
          <w:b/>
        </w:rPr>
        <w:t xml:space="preserve">Gdzie są ustalenia dotyczące nagrania i wykorzystania materiałów: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Co można opracować oraz czego nie wolno jeszcze publikować: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r>
        <w:br w:type="page"/>
      </w:r>
    </w:p>
    <w:p>
      <w:pPr>
        <w:pStyle w:val="Heading1"/>
        <w:spacing w:after="120"/>
      </w:pPr>
      <w:r>
        <w:t>Receptura źródłowa i współczesna próba</w:t>
      </w:r>
    </w:p>
    <w:p>
      <w:pPr>
        <w:spacing w:after="120"/>
      </w:pPr>
      <w:r>
        <w:t>Nie nadpisujcie źródła poprawkami. Jeśli próby nie wykonano, nazwijcie część roboczą wersją do sprawdzenia. Wynik jednej próby nie potwierdza trwałości ani bezpieczeństwa wszystkich wariantów.</w:t>
      </w:r>
    </w:p>
    <w:p>
      <w:pPr>
        <w:pStyle w:val="Heading2"/>
        <w:spacing w:after="120"/>
      </w:pPr>
      <w:r>
        <w:t>Oryginalny przekaz</w:t>
      </w:r>
    </w:p>
    <w:p>
      <w:pPr>
        <w:spacing w:after="160"/>
      </w:pPr>
      <w:r>
        <w:rPr>
          <w:b/>
        </w:rPr>
        <w:t xml:space="preserve">Identyfikator, źródło i data zapisu: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Składniki i miary dokładnie jak w źródle: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Kolejność czynności i nieczytelne fragmenty: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Wersja robocza po próbie</w:t>
      </w:r>
    </w:p>
    <w:p>
      <w:pPr>
        <w:spacing w:after="160"/>
      </w:pPr>
      <w:r>
        <w:rPr>
          <w:b/>
        </w:rPr>
        <w:t xml:space="preserve">Data, osoba wykonująca i numer wersji: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Naczynie, urządzenie i warunki próby: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Ilości i zmiany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3168"/>
        <w:gridCol w:w="3744"/>
      </w:tblGrid>
      <w:tr>
        <w:trPr>
          <w:tblHeader/>
          <w:cantSplit/>
        </w:trPr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40" w:line="252" w:lineRule="auto"/>
            </w:pPr>
            <w:r>
              <w:rPr>
                <w:b/>
                <w:sz w:val="21"/>
              </w:rPr>
              <w:t>Zapis źródłowy</w:t>
            </w:r>
          </w:p>
        </w:tc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40" w:line="252" w:lineRule="auto"/>
            </w:pPr>
            <w:r>
              <w:rPr>
                <w:b/>
                <w:sz w:val="21"/>
              </w:rPr>
              <w:t>Rzeczywiście użyto</w:t>
            </w:r>
          </w:p>
        </w:tc>
        <w:tc>
          <w:tcPr>
            <w:tcW w:type="dxa" w:w="374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40" w:line="252" w:lineRule="auto"/>
            </w:pPr>
            <w:r>
              <w:rPr>
                <w:b/>
                <w:sz w:val="21"/>
              </w:rPr>
              <w:t>Zmiana i przyczyna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[składnik / miara]</w:t>
            </w:r>
          </w:p>
        </w:tc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[masa / objętość]</w:t>
            </w:r>
          </w:p>
        </w:tc>
        <w:tc>
          <w:tcPr>
            <w:tcW w:type="dxa" w:w="374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[opis]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[składnik / miara]</w:t>
            </w:r>
          </w:p>
        </w:tc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[masa / objętość]</w:t>
            </w:r>
          </w:p>
        </w:tc>
        <w:tc>
          <w:tcPr>
            <w:tcW w:type="dxa" w:w="374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[opis]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[składnik / miara]</w:t>
            </w:r>
          </w:p>
        </w:tc>
        <w:tc>
          <w:tcPr>
            <w:tcW w:type="dxa" w:w="316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[masa / objętość]</w:t>
            </w:r>
          </w:p>
        </w:tc>
        <w:tc>
          <w:tcPr>
            <w:tcW w:type="dxa" w:w="374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[opis]</w:t>
            </w:r>
          </w:p>
        </w:tc>
      </w:tr>
    </w:tbl>
    <w:p>
      <w:pPr>
        <w:spacing w:after="120"/>
      </w:pPr>
    </w:p>
    <w:p>
      <w:pPr>
        <w:pStyle w:val="Heading2"/>
        <w:spacing w:after="120"/>
      </w:pPr>
      <w:r>
        <w:t>Wynik i kolejny krok</w:t>
      </w:r>
    </w:p>
    <w:p>
      <w:pPr>
        <w:spacing w:after="160"/>
      </w:pPr>
      <w:r>
        <w:rPr>
          <w:b/>
        </w:rPr>
        <w:t xml:space="preserve">Rzeczywista ilość dania i liczba porcji: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Przebieg, efekt i poprawki do następnego wykonania: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Informacja o składnikach i alergenach oraz osoba sprawdzająca: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r>
        <w:br w:type="page"/>
      </w:r>
    </w:p>
    <w:p>
      <w:pPr>
        <w:pStyle w:val="Heading1"/>
        <w:spacing w:after="120"/>
      </w:pPr>
      <w:r>
        <w:t>Karta fotografii i kontrola publikacji</w:t>
      </w:r>
    </w:p>
    <w:p>
      <w:pPr>
        <w:spacing w:after="120"/>
      </w:pPr>
      <w:r>
        <w:t>Wypełnijcie osobno dla każdego zdjęcia, skanu, tekstu lub nagrania. Pozytywna odpowiedź w jednym obszarze nie zastępuje sprawdzenia pozostałych praw.</w:t>
      </w:r>
    </w:p>
    <w:p>
      <w:pPr>
        <w:pStyle w:val="Heading2"/>
        <w:spacing w:after="120"/>
      </w:pPr>
      <w:r>
        <w:t>Opis pliku</w:t>
      </w:r>
    </w:p>
    <w:p>
      <w:pPr>
        <w:spacing w:after="160"/>
      </w:pPr>
      <w:r>
        <w:rPr>
          <w:b/>
        </w:rPr>
        <w:t xml:space="preserve">Identyfikator przepisu, nazwa pliku i opis materiału: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Autor, data powstania i źródło lub właściciel egzemplarza: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Ustalony podpis oraz tekst alternatywny zdjęcia: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Sprawdzenie uprawnień</w:t>
      </w:r>
    </w:p>
    <w:p>
      <w:pPr>
        <w:spacing w:after="120"/>
      </w:pPr>
      <w:r>
        <w:t>[ ] Ustalono, kto ma prawa do tekstu, fotografii lub nagrania.</w:t>
      </w:r>
    </w:p>
    <w:p>
      <w:pPr>
        <w:spacing w:after="120"/>
      </w:pPr>
      <w:r>
        <w:t>[ ] Ustalono konkretny zakres użycia, kanały, czas, wynagrodzenie lub nieodpłatność, modyfikacje oraz podpis.</w:t>
      </w:r>
    </w:p>
    <w:p>
      <w:pPr>
        <w:spacing w:after="120"/>
      </w:pPr>
      <w:r>
        <w:t>[ ] Oddzielnie sprawdzono możliwość rozpowszechniania wizerunku, jeśli osoba jest rozpoznawalna; nie założono automatycznego wyjątku.</w:t>
      </w:r>
    </w:p>
    <w:p>
      <w:pPr>
        <w:spacing w:after="120"/>
      </w:pPr>
      <w:r>
        <w:t>[ ] Dla danych osobowych ustalono cel, podstawę, obowiązek informacyjny, dostęp i okres przechowywania.</w:t>
      </w:r>
    </w:p>
    <w:p>
      <w:pPr>
        <w:spacing w:after="120"/>
      </w:pPr>
      <w:r>
        <w:t>[ ] Jeśli podstawą jest zgoda, jest dobrowolna i określona, a sposób jej wycofania został wyjaśniony.</w:t>
      </w:r>
    </w:p>
    <w:p>
      <w:pPr>
        <w:spacing w:after="120"/>
      </w:pPr>
      <w:r>
        <w:t>[ ] Wersja do publikacji nie zawiera prywatnych kontaktów, podpisów dokumentów ani zbędnej geolokalizacji.</w:t>
      </w:r>
    </w:p>
    <w:p>
      <w:pPr>
        <w:spacing w:after="160"/>
      </w:pPr>
      <w:r>
        <w:rPr>
          <w:b/>
        </w:rPr>
        <w:t xml:space="preserve">Gdzie przechowano dokumenty i kto sprawdził zakres: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Status materiału oraz kanały dopuszczone do publikacji: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Gdy czegoś nie ustalono</w:t>
      </w:r>
    </w:p>
    <w:p>
      <w:pPr>
        <w:spacing w:after="120"/>
      </w:pPr>
      <w:r>
        <w:t>Oznaczcie materiał jako do wyjaśnienia i nie publikujcie go. Własność odbitki lub zeszytu nie oznacza automatycznie praw do treści. Zgoda na rozmowę nie obejmuje każdego późniejszego wykorzystania. Przy małoletnich potrzebna jest szczególna ostrożność.</w:t>
      </w:r>
    </w:p>
    <w:p>
      <w:r>
        <w:br w:type="page"/>
      </w:r>
    </w:p>
    <w:p>
      <w:pPr>
        <w:pStyle w:val="Heading1"/>
        <w:spacing w:after="120"/>
      </w:pPr>
      <w:r>
        <w:t>Układ kroniki i instrukcja archiwizacji</w:t>
      </w:r>
    </w:p>
    <w:p>
      <w:pPr>
        <w:spacing w:after="120"/>
      </w:pPr>
      <w:r>
        <w:t>Przykład układu jest fikcyjny. Nie przedstawia autentycznego przepisu ani przeprowadzonej próby. Pola służą do opracowania własnych materiałów.</w:t>
      </w:r>
    </w:p>
    <w:p>
      <w:pPr>
        <w:pStyle w:val="Heading2"/>
        <w:spacing w:after="120"/>
      </w:pPr>
      <w:r>
        <w:t>Przykładowa lewa strona kroniki</w:t>
      </w:r>
    </w:p>
    <w:p>
      <w:pPr>
        <w:spacing w:after="120"/>
      </w:pPr>
      <w:r>
        <w:t>KK-2026-001. Placek z zeszytu rodzinnego. Opracowanie przykładowe.</w:t>
      </w:r>
    </w:p>
    <w:p>
      <w:pPr>
        <w:spacing w:after="120"/>
      </w:pPr>
      <w:r>
        <w:t>Tu wpiszcie krótką historię pochodzenia z zaznaczeniem, co jest relacją rozmówczyni, a co potwierdza źródło. Oryginalne miary przytoczcie bez cichego przeliczania na współczesne jednostki.</w:t>
      </w:r>
    </w:p>
    <w:p>
      <w:pPr>
        <w:spacing w:after="120"/>
      </w:pPr>
      <w:r>
        <w:t>Miejsce na skan kartki lub fotografię dawnego naczynia. Dodajcie źródło, autora i ustalony podpis. Publikujcie tylko materiały, których uprawnienia wyjaśniono.</w:t>
      </w:r>
    </w:p>
    <w:p>
      <w:pPr>
        <w:pStyle w:val="Heading2"/>
        <w:spacing w:after="120"/>
      </w:pPr>
      <w:r>
        <w:t>Przykładowa prawa strona kroniki</w:t>
      </w:r>
    </w:p>
    <w:p>
      <w:pPr>
        <w:spacing w:after="120"/>
      </w:pPr>
      <w:r>
        <w:t>Wersja do sprawdzenia lub wersja po próbie z datą i numerem karty.</w:t>
      </w:r>
    </w:p>
    <w:p>
      <w:pPr>
        <w:spacing w:after="120"/>
      </w:pPr>
      <w:r>
        <w:t>Tu wpiszcie faktycznie użyte składniki i ilości, naczynie, warunki próby, liczbę porcji i zmiany. Dołączcie fotografię rzeczywistego wykonania z podpisem. Nie nazywajcie przepisu sprawdzonym, jeśli próby nie było.</w:t>
      </w:r>
    </w:p>
    <w:p>
      <w:pPr>
        <w:pStyle w:val="Heading2"/>
        <w:spacing w:after="120"/>
      </w:pPr>
      <w:r>
        <w:t>Jak porządkować pliki</w:t>
      </w:r>
    </w:p>
    <w:p>
      <w:pPr>
        <w:spacing w:after="120"/>
      </w:pPr>
      <w:r>
        <w:t>1. Jeden identyfikator łączy rozmowę, źródło, próby i zdjęcia. W folderze przepisu utwórzcie części: 01-zrodla, 02-transkrypcja, 03-proby, 04-zdjecia, 05-do-publikacji.</w:t>
      </w:r>
    </w:p>
    <w:p>
      <w:pPr>
        <w:spacing w:after="120"/>
      </w:pPr>
      <w:r>
        <w:t>2. Nazwa KK-2026-001_proba_2026-10-28_v02.docx opisuje etap, datę i wersję. Oryginałów nie nadpisujcie. Zaznaczcie, która wersja jest aktualna.</w:t>
      </w:r>
    </w:p>
    <w:p>
      <w:pPr>
        <w:spacing w:after="120"/>
      </w:pPr>
      <w:r>
        <w:t>3. Kontakty, nagrania i dokumenty ustaleń trzymajcie z ograniczonym dostępem, osobno od publicznej kroniki. Nie udostępniajcie całego archiwum przez otwarty link.</w:t>
      </w:r>
    </w:p>
    <w:p>
      <w:pPr>
        <w:spacing w:after="120"/>
      </w:pPr>
      <w:r>
        <w:t>4. Zróbcie kopię w innym bezpiecznym miejscu i sprawdźcie możliwość odtworzenia. Ustalcie osobę odpowiedzialną i sposób przekazania zbioru kolejnej osobie.</w:t>
      </w:r>
    </w:p>
    <w:p>
      <w:pPr>
        <w:pStyle w:val="Heading2"/>
        <w:spacing w:after="120"/>
      </w:pPr>
      <w:r>
        <w:t>Zakres i podstawy</w:t>
      </w:r>
    </w:p>
    <w:p>
      <w:pPr>
        <w:spacing w:after="120"/>
      </w:pPr>
      <w:r>
        <w:t>Karty pomagają dokumentować dziedzictwo, nie potwierdzają bezpieczeństwa produkcji lub sprzedaży żywności i nie są uniwersalną zgodą prawną.</w:t>
      </w:r>
    </w:p>
    <w:p>
      <w:pPr>
        <w:spacing w:after="120"/>
      </w:pPr>
      <w:r>
        <w:t>Prawo autorskie: art. 1-3, 16-17, 41, 50, 52-53 i 81 (Dz.U. 2025 poz. 24). Dane osobowe: RODO, art. 5-7 i 13. Weryfikacja 28 października 2026.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Karty kroniki kulinarnej KGW</dc:title>
  <dc:subject>Praktyczny materiał roboczy dla KGW</dc:subject>
  <dc:creator>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