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Protokół przekazania dokumentacji KGW</w:t>
      </w:r>
    </w:p>
    <w:p>
      <w:r>
        <w:t>Dokumentuje faktyczny stan przekazania. Nie oznacza automatycznego zatwierdzenia dawnych rozliczeń ani zwolnienia kogokolwiek z odpowiedzialności. Nie wpisujcie haseł do tego protokołu.</w:t>
      </w:r>
    </w:p>
    <w:p>
      <w:pPr>
        <w:spacing w:after="120"/>
      </w:pPr>
      <w:r>
        <w:rPr>
          <w:b/>
        </w:rPr>
        <w:t xml:space="preserve">Pełna nazwa KGW: </w:t>
      </w:r>
      <w:r>
        <w:t>[uzupełnij]</w:t>
      </w:r>
    </w:p>
    <w:p>
      <w:pPr>
        <w:spacing w:after="120"/>
      </w:pPr>
      <w:r>
        <w:rPr>
          <w:b/>
        </w:rPr>
        <w:t xml:space="preserve">Data i miejsce przekazania: </w:t>
      </w:r>
      <w:r>
        <w:t>[uzupełnij]</w:t>
      </w:r>
    </w:p>
    <w:p>
      <w:pPr>
        <w:spacing w:after="120"/>
      </w:pPr>
      <w:r>
        <w:rPr>
          <w:b/>
        </w:rPr>
        <w:t xml:space="preserve">Przekazujący oraz podstawa działania: </w:t>
      </w:r>
      <w:r>
        <w:t>[uzupełnij]</w:t>
      </w:r>
    </w:p>
    <w:p>
      <w:pPr>
        <w:spacing w:after="120"/>
      </w:pPr>
      <w:r>
        <w:rPr>
          <w:b/>
        </w:rPr>
        <w:t xml:space="preserve">Przejmujący oraz podstawa upoważnienia: </w:t>
      </w:r>
      <w:r>
        <w:t>[uzupełnij]</w:t>
      </w:r>
    </w:p>
    <w:p>
      <w:pPr>
        <w:spacing w:after="120"/>
      </w:pPr>
      <w:r>
        <w:rPr>
          <w:b/>
        </w:rPr>
        <w:t xml:space="preserve">Okres objęty dokumentacją: </w:t>
      </w:r>
      <w:r>
        <w:t>[uzupełnij]</w:t>
      </w:r>
    </w:p>
    <w:p>
      <w:pPr>
        <w:pStyle w:val="Heading1"/>
      </w:pPr>
      <w:r>
        <w:t>Przekazane zbiory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Zbiór i okres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Liczba teczek lub plików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Stan i lokalizacja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Braki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Statut, rejestr i uchwały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Umowy i dokumentacja dotacji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Ewidencja i dowody rozliczeń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Wykaz majątku i protokoły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Dokumentacja członkowska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Sprawy niezakończone</w:t>
      </w:r>
    </w:p>
    <w:p>
      <w:pPr>
        <w:spacing w:after="120"/>
      </w:pPr>
      <w:r>
        <w:rPr>
          <w:b/>
        </w:rPr>
        <w:t xml:space="preserve">Nierozliczone dokumenty, należności i zobowiązania według załączonego wykazu: </w:t>
      </w:r>
      <w:r>
        <w:t>[uzupełnij]</w:t>
      </w:r>
    </w:p>
    <w:p>
      <w:pPr>
        <w:spacing w:after="120"/>
      </w:pPr>
      <w:r>
        <w:rPr>
          <w:b/>
        </w:rPr>
        <w:t xml:space="preserve">Terminy najbliższych zgłoszeń i rozliczeń: </w:t>
      </w:r>
      <w:r>
        <w:t>[uzupełnij]</w:t>
      </w:r>
    </w:p>
    <w:p>
      <w:pPr>
        <w:spacing w:after="120"/>
      </w:pPr>
      <w:r>
        <w:rPr>
          <w:b/>
        </w:rPr>
        <w:t xml:space="preserve">Ustalone różnice, brakujące dokumenty i zastrzeżenia: </w:t>
      </w:r>
      <w:r>
        <w:t>[uzupełnij]</w:t>
      </w:r>
    </w:p>
    <w:p>
      <w:pPr>
        <w:pStyle w:val="Heading1"/>
      </w:pPr>
      <w:r>
        <w:t>Dostępy i zakończenie</w:t>
      </w:r>
    </w:p>
    <w:p>
      <w:r>
        <w:t>Dostępy przekazuje się lub nadaje odrębnym bezpiecznym kanałem zgodnie z upoważnieniem i zasadami danego systemu. Wykaz poniżej obejmuje nazwy systemów, osoby odpowiedzialne oraz potwierdzenie wykonania, bez haseł.</w:t>
      </w:r>
    </w:p>
    <w:p>
      <w:pPr>
        <w:spacing w:after="120"/>
      </w:pPr>
      <w:r>
        <w:rPr>
          <w:b/>
        </w:rPr>
        <w:t xml:space="preserve">Systemy, administratorzy i termin zmiany lub cofnięcia dostępów: </w:t>
      </w:r>
      <w:r>
        <w:t>[uzupełnij]</w:t>
      </w:r>
    </w:p>
    <w:p>
      <w:pPr>
        <w:spacing w:after="120"/>
      </w:pPr>
      <w:r>
        <w:rPr>
          <w:b/>
        </w:rPr>
        <w:t xml:space="preserve">Numery załączników i termin usunięcia braków: </w:t>
      </w:r>
      <w:r>
        <w:t>[uzupełnij]</w:t>
      </w:r>
    </w:p>
    <w:p>
      <w:pPr>
        <w:spacing w:after="120"/>
      </w:pPr>
      <w:r>
        <w:rPr>
          <w:b/>
        </w:rPr>
        <w:t xml:space="preserve">Podpis przekazującego i podpis przejmującego: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Przed podpisaniem policzcie dokumenty i otwórzcie wybrane pliki. Ogólne zdanie przekazano całość nie wystarczy, jeśli nie wiadomo, czego dotyczy.</w:t>
      </w:r>
    </w:p>
    <w:p>
      <w:pPr>
        <w:pStyle w:val="ListBullet"/>
      </w:pPr>
      <w:r>
        <w:t>Saldo rachunku i gotówkę potwierdźcie właściwymi dokumentami. Ten protokół nie zastępuje inwentaryzacji kasy ani wyciągu bankowego.</w:t>
      </w:r>
    </w:p>
    <w:p>
      <w:pPr>
        <w:pStyle w:val="ListBullet"/>
      </w:pPr>
      <w:r>
        <w:t>Przy UEPiK uwzględnijcie stan zapisów, korekty, dochód wolny z lat ubiegłych, wykaz majątku i kopie zawiadomień. W innych systemach lista będzie inna.</w:t>
      </w:r>
    </w:p>
    <w:p>
      <w:pPr>
        <w:pStyle w:val="ListBullet"/>
      </w:pPr>
      <w:r>
        <w:t>Bank, PUE ARiMR, KSeF i poczta mają odrębne zasady pełnomocnictw i dostępów. Przekazanie prywatnego loginu nie zastępuje nadania uprawnienia.</w:t>
      </w:r>
    </w:p>
    <w:p>
      <w:pPr>
        <w:pStyle w:val="ListBullet"/>
      </w:pPr>
      <w:r>
        <w:t>Oddzielcie dokumenty z danymi osobowymi od publicznych materiałów. Przejmujący powinien mieć właściwe umocowanie i bezpieczne miejsce przechowywania.</w:t>
      </w:r>
    </w:p>
    <w:p>
      <w:pPr>
        <w:pStyle w:val="ListBullet"/>
      </w:pPr>
      <w:r>
        <w:t>Wpiszcie zastrzeżenia przed podpisaniem. Zapis przejęto teczki nie oznacza sprawdzono poprawność wszystkich operacji.</w:t>
      </w:r>
    </w:p>
    <w:p>
      <w:pPr>
        <w:pStyle w:val="Heading1"/>
      </w:pPr>
      <w:r>
        <w:t>Przykład objaśniający</w:t>
      </w:r>
    </w:p>
    <w:p>
      <w:r>
        <w:t>Przykład fikcyjny: przekazano 2 teczki wydatków za 2026 r.; brakuje potwierdzenia zapłaty do dokumentu 17/2026. Ustalono osobę odpowiedzialną i datę dostarczenia brakującego potwierdzenia.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Ustawa o kołach gospodyń wiejskich</w:t>
      </w:r>
    </w:p>
    <w:p>
      <w:pPr>
        <w:pStyle w:val="ListBullet"/>
      </w:pPr>
      <w:r>
        <w:t>Rozporządzenie Ministra Finansów i Gospodarki z 23 grudnia 2025 r. w sprawie prowadzenia UEPiK przez KGW, Dz.U. 2025 poz. 1879</w:t>
      </w:r>
    </w:p>
    <w:p>
      <w:pPr>
        <w:pStyle w:val="ListBullet"/>
      </w:pPr>
      <w:r>
        <w:t>RODO, zasady bezpieczeństwa i minimalizacji danych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szkoleniakgw.pl/protokol-przekazania-dokumentacji-kgw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dokumentacji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