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Protokół przyjęcia darowizny rzeczowej przez KGW</w:t>
      </w:r>
    </w:p>
    <w:p>
      <w:r>
        <w:t>Dokumentuje wykonane przekazanie darowizny rzeczowej. Nie jest uniwersalną umową darowizny, wyceną rzeczoznawcy ani zapewnieniem odliczenia podatkowego darczyńcy. Nie stosujcie go do nieruchomości lub czynności wymagających szczególnej formy.</w:t>
      </w:r>
    </w:p>
    <w:p>
      <w:pPr>
        <w:spacing w:after="120"/>
      </w:pPr>
      <w:r>
        <w:rPr>
          <w:b/>
        </w:rPr>
        <w:t xml:space="preserve">Numer protokołu oraz data i miejsce przyjęcia: </w:t>
      </w:r>
      <w:r>
        <w:t>[uzupełnij]</w:t>
      </w:r>
    </w:p>
    <w:p>
      <w:pPr>
        <w:spacing w:after="120"/>
      </w:pPr>
      <w:r>
        <w:rPr>
          <w:b/>
        </w:rPr>
        <w:t xml:space="preserve">Darczyńca i dane niezbędne do identyfikacji stron: </w:t>
      </w:r>
      <w:r>
        <w:t>[uzupełnij]</w:t>
      </w:r>
    </w:p>
    <w:p>
      <w:pPr>
        <w:spacing w:after="120"/>
      </w:pPr>
      <w:r>
        <w:rPr>
          <w:b/>
        </w:rPr>
        <w:t xml:space="preserve">Nazwa KGW i osoby działające za koło zgodnie z reprezentacją: </w:t>
      </w:r>
      <w:r>
        <w:t>[uzupełnij]</w:t>
      </w:r>
    </w:p>
    <w:p>
      <w:pPr>
        <w:spacing w:after="120"/>
      </w:pPr>
      <w:r>
        <w:rPr>
          <w:b/>
        </w:rPr>
        <w:t xml:space="preserve">Dokument lub ustalenie stanowiące podstawę przekazania: </w:t>
      </w:r>
      <w:r>
        <w:t>[uzupełnij]</w:t>
      </w:r>
    </w:p>
    <w:p>
      <w:pPr>
        <w:pStyle w:val="Heading1"/>
      </w:pPr>
      <w:r>
        <w:t>Przekazane rzeczy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Opis i identyfikator rzeczy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Liczba i jednostka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Stan lub partia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Wartość i podstawa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Cel i potwierdzenie</w:t>
      </w:r>
    </w:p>
    <w:p>
      <w:r>
        <w:t>Darczyńca przekazał nieodpłatnie, a KGW przyjęło rzeczy wymienione w protokole na cel [rzeczywisty cel statutowy]. Strony potwierdzają faktyczny zakres i stan przekazania opisany powyżej. Dodatkowe ustalenia i zastrzeżenia: [opis albo brak].</w:t>
      </w:r>
    </w:p>
    <w:p>
      <w:pPr>
        <w:spacing w:after="120"/>
      </w:pPr>
      <w:r>
        <w:rPr>
          <w:b/>
        </w:rPr>
        <w:t xml:space="preserve">Miejsce przechowywania i osoba przyjmująca rzeczy: </w:t>
      </w:r>
      <w:r>
        <w:t>[uzupełnij]</w:t>
      </w:r>
    </w:p>
    <w:p>
      <w:pPr>
        <w:spacing w:after="120"/>
      </w:pPr>
      <w:r>
        <w:rPr>
          <w:b/>
        </w:rPr>
        <w:t xml:space="preserve">Załączniki potwierdzające ilość, pochodzenie i wartość: </w:t>
      </w:r>
      <w:r>
        <w:t>[uzupełnij]</w:t>
      </w:r>
    </w:p>
    <w:p>
      <w:pPr>
        <w:spacing w:after="120"/>
      </w:pPr>
      <w:r>
        <w:rPr>
          <w:b/>
        </w:rPr>
        <w:t xml:space="preserve">Podpis darczyńcy i osób uprawnionych po stronie KGW: </w:t>
      </w:r>
      <w:r>
        <w:t>[uzupełnij]</w:t>
      </w:r>
    </w:p>
    <w:p>
      <w:pPr>
        <w:pStyle w:val="Heading1"/>
      </w:pPr>
      <w:r>
        <w:t>Część wewnętrzna koła</w:t>
      </w:r>
    </w:p>
    <w:p>
      <w:pPr>
        <w:spacing w:after="120"/>
      </w:pPr>
      <w:r>
        <w:rPr>
          <w:b/>
        </w:rPr>
        <w:t xml:space="preserve">Przyjęcie do ewidencji i numer dokumentu powiązanego: </w:t>
      </w:r>
      <w:r>
        <w:t>[uzupełnij]</w:t>
      </w:r>
    </w:p>
    <w:p>
      <w:pPr>
        <w:spacing w:after="120"/>
      </w:pPr>
      <w:r>
        <w:rPr>
          <w:b/>
        </w:rPr>
        <w:t xml:space="preserve">Sposób ustalenia wartości i osoba sprawdzająca: </w:t>
      </w:r>
      <w:r>
        <w:t>[uzupełnij]</w:t>
      </w:r>
    </w:p>
    <w:p>
      <w:pPr>
        <w:spacing w:after="120"/>
      </w:pPr>
      <w:r>
        <w:rPr>
          <w:b/>
        </w:rPr>
        <w:t xml:space="preserve">Warunki wykorzystania lub ograniczenia wymagające sprawdzenia: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Opiszcie rzeczy, które rzeczywiście przekazano, a nie obietnicę przyszłej darowizny. Umowa, jej forma i ewentualne polecenie darczyńcy wymagają osobnej oceny.</w:t>
      </w:r>
    </w:p>
    <w:p>
      <w:pPr>
        <w:pStyle w:val="ListBullet"/>
      </w:pPr>
      <w:r>
        <w:t>Nie wpisujcie dowolnej ceny rynkowej. Zachowajcie podstawę wartości, np. dokument zakupu i opis stanu albo porównywalne dane odpowiednie dla tej rzeczy; podatkową wycenę trzeba ustalić według właściwych przepisów.</w:t>
      </w:r>
    </w:p>
    <w:p>
      <w:pPr>
        <w:pStyle w:val="ListBullet"/>
      </w:pPr>
      <w:r>
        <w:t>W UEPiK wyłączenie określonych darowizn rzeczowych z limitu nie oznacza braku ewidencji. Darowizny pieniężne, nagrody i bony nie są automatycznie tą samą sytuacją.</w:t>
      </w:r>
    </w:p>
    <w:p>
      <w:pPr>
        <w:pStyle w:val="ListBullet"/>
      </w:pPr>
      <w:r>
        <w:t>Jeśli darczyńca otrzymuje w zamian reklamę lub inne świadczenie, zbadajcie czy jest to nadal darowizna. Nie dokumentujcie odpłatnej usługi jako nieodpłatnego przekazania.</w:t>
      </w:r>
    </w:p>
    <w:p>
      <w:pPr>
        <w:pStyle w:val="ListBullet"/>
      </w:pPr>
      <w:r>
        <w:t>Żywność wymaga także informacji o pochodzeniu, partii, terminie, warunkach transportu, składnikach i alergenach stosownie do rodzaju produktu. Protokół nie legalizuje niebezpiecznej żywności.</w:t>
      </w:r>
    </w:p>
    <w:p>
      <w:pPr>
        <w:pStyle w:val="ListBullet"/>
      </w:pPr>
      <w:r>
        <w:t>Wartość darowanej rzeczy nie jest automatycznie wydatkiem pieniężnym ani wkładem własnym uznawanym w każdej dotacji. Sprawdźcie regulamin programu.</w:t>
      </w:r>
    </w:p>
    <w:p>
      <w:pPr>
        <w:pStyle w:val="Heading1"/>
      </w:pPr>
      <w:r>
        <w:t>Przykład objaśniający</w:t>
      </w:r>
    </w:p>
    <w:p>
      <w:r>
        <w:t>Przykład fikcyjny: darczyńca przekazał 10 kg mąki w oryginalnych opakowaniach. Do protokołu dołączono identyfikację partii, termin i dane etykiety, a podstawę wyceny opisano osobno. Nie oznacza to poniesienia przez KGW wydatku gotówkowego.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Kodeks cywilny, art. 888 i 890</w:t>
      </w:r>
    </w:p>
    <w:p>
      <w:pPr>
        <w:pStyle w:val="ListBullet"/>
      </w:pPr>
      <w:r>
        <w:t>Ustawa o KGW, art. 24</w:t>
      </w:r>
    </w:p>
    <w:p>
      <w:pPr>
        <w:pStyle w:val="ListBullet"/>
      </w:pPr>
      <w:r>
        <w:t>Rozporządzenie dotyczące UEPiK KGW, Dz.U. 2025 poz. 1879</w:t>
      </w:r>
    </w:p>
    <w:p>
      <w:pPr>
        <w:pStyle w:val="ListBullet"/>
      </w:pPr>
      <w:r>
        <w:t>Rozporządzenie WE nr 178/2002, identyfikowalność żywności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szkoleniakgw.pl/protokol-przyjecia-darowizny-rzeczowej-kgw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przyjęcia darowizny rzeczowej przez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