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Rejestr monitorowania owadów KGW</w:t>
      </w:r>
    </w:p>
    <w:p>
      <w:r>
        <w:t>Pomocniczy rejestr monitorowania owadów w kuchni lub magazynie koła, powiązany z planem punktów kontrolnych. Nie jest oceną skuteczności konkretnej lampy ani dowodem, że samo posiadanie urządzenia zapewnia ochronę żywności.</w:t>
      </w:r>
    </w:p>
    <w:p>
      <w:pPr>
        <w:spacing w:after="120"/>
      </w:pPr>
      <w:r>
        <w:rPr>
          <w:b/>
        </w:rPr>
        <w:t xml:space="preserve">Nazwa KGW i obiekt: </w:t>
      </w:r>
      <w:r>
        <w:t>[uzupełnij]</w:t>
      </w:r>
    </w:p>
    <w:p>
      <w:pPr>
        <w:spacing w:after="120"/>
      </w:pPr>
      <w:r>
        <w:rPr>
          <w:b/>
        </w:rPr>
        <w:t xml:space="preserve">Okres od do: </w:t>
      </w:r>
      <w:r>
        <w:t>[uzupełnij]</w:t>
      </w:r>
    </w:p>
    <w:p>
      <w:pPr>
        <w:spacing w:after="120"/>
      </w:pPr>
      <w:r>
        <w:rPr>
          <w:b/>
        </w:rPr>
        <w:t xml:space="preserve">Plan punktów kontrolnych numer i wersja: </w:t>
      </w:r>
      <w:r>
        <w:t>[uzupełnij]</w:t>
      </w:r>
    </w:p>
    <w:p>
      <w:pPr>
        <w:spacing w:after="120"/>
      </w:pPr>
      <w:r>
        <w:rPr>
          <w:b/>
        </w:rPr>
        <w:t xml:space="preserve">Osoba prowadząca i osoba nadzorująca: </w:t>
      </w:r>
      <w:r>
        <w:t>[uzupełnij]</w:t>
      </w:r>
    </w:p>
    <w:p>
      <w:pPr>
        <w:spacing w:after="120"/>
      </w:pPr>
      <w:r>
        <w:rPr>
          <w:b/>
        </w:rPr>
        <w:t xml:space="preserve">Częstotliwość obserwacji i przesłanki kontroli dodatkowej: </w:t>
      </w:r>
      <w:r>
        <w:t>[uzupełnij]</w:t>
      </w:r>
    </w:p>
    <w:p>
      <w:pPr>
        <w:spacing w:after="120"/>
      </w:pPr>
      <w:r>
        <w:rPr>
          <w:b/>
        </w:rPr>
        <w:t xml:space="preserve">Przyjęte kryteria reakcji według analizy zagrożeń i procedury: </w:t>
      </w:r>
      <w:r>
        <w:t>[uzupełnij]</w:t>
      </w:r>
    </w:p>
    <w:p>
      <w:pPr>
        <w:pStyle w:val="Heading1"/>
      </w:pPr>
      <w:r>
        <w:t>Punkty monitorowania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rHeight w:val="418"/>
          <w:tblHeader/>
          <w:cantSplit/>
        </w:trPr>
        <w:tc>
          <w:tcPr>
            <w:tcW w:type="dxa" w:w="336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Numer i lokalizacja</w:t>
            </w:r>
          </w:p>
        </w:tc>
        <w:tc>
          <w:tcPr>
            <w:tcW w:type="dxa" w:w="336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Sposób obserwacji lub urządzenie</w:t>
            </w:r>
          </w:p>
        </w:tc>
        <w:tc>
          <w:tcPr>
            <w:tcW w:type="dxa" w:w="336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Co kontrolujemy</w:t>
            </w:r>
          </w:p>
        </w:tc>
      </w:tr>
      <w:tr>
        <w:trPr>
          <w:cantSplit/>
          <w:trHeight w:val="418"/>
        </w:trPr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Obserwacje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rHeight w:val="418"/>
          <w:tblHeader/>
          <w:cantSplit/>
        </w:trPr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Data i punkt</w:t>
            </w:r>
          </w:p>
        </w:tc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Owady lub ślady liczba i rozpoznanie</w:t>
            </w:r>
          </w:p>
        </w:tc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Stan zabezpieczeń i urządzenia</w:t>
            </w:r>
          </w:p>
        </w:tc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Działanie lub numer zgłoszenia</w:t>
            </w:r>
          </w:p>
        </w:tc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Osoba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Reakcja i zamknięcie problemu</w:t>
      </w:r>
    </w:p>
    <w:p>
      <w:pPr>
        <w:spacing w:after="120"/>
      </w:pPr>
      <w:r>
        <w:rPr>
          <w:b/>
        </w:rPr>
        <w:t xml:space="preserve">Opis zagrożenia dla żywności i podjęte zabezpieczenie: </w:t>
      </w:r>
      <w:r>
        <w:t>[uzupełnij]</w:t>
      </w:r>
    </w:p>
    <w:p>
      <w:pPr>
        <w:spacing w:after="120"/>
      </w:pPr>
      <w:r>
        <w:rPr>
          <w:b/>
        </w:rPr>
        <w:t xml:space="preserve">Przyczyna lub dalsze ustalenia oraz osoba odpowiedzialna za usunięcie: </w:t>
      </w:r>
      <w:r>
        <w:t>[uzupełnij]</w:t>
      </w:r>
    </w:p>
    <w:p>
      <w:pPr>
        <w:spacing w:after="120"/>
      </w:pPr>
      <w:r>
        <w:rPr>
          <w:b/>
        </w:rPr>
        <w:t xml:space="preserve">Zgłoszenie administratorowi lub specjaliście data i numer: </w:t>
      </w:r>
      <w:r>
        <w:t>[uzupełnij]</w:t>
      </w:r>
    </w:p>
    <w:p>
      <w:pPr>
        <w:spacing w:after="120"/>
      </w:pPr>
      <w:r>
        <w:rPr>
          <w:b/>
        </w:rPr>
        <w:t xml:space="preserve">Kontrola skuteczności data wynik i dalsza decyzja: </w:t>
      </w:r>
      <w:r>
        <w:t>[uzupełnij]</w:t>
      </w:r>
    </w:p>
    <w:p>
      <w:pPr>
        <w:spacing w:after="120"/>
      </w:pPr>
      <w:r>
        <w:rPr>
          <w:b/>
        </w:rPr>
        <w:t xml:space="preserve">Osoba sprawdzająca i data: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Oznacz punkty na prostym planie i sprawdzaj również drzwi, okna, siatki, odpady, odpływy i miejsca potencjalnego rozwoju owadów. Rejestr odłowów bez kontroli przyczyny problemu nie zastępuje ochrony przed szkodnikami.</w:t>
      </w:r>
    </w:p>
    <w:p>
      <w:pPr>
        <w:pStyle w:val="ListBullet"/>
      </w:pPr>
      <w:r>
        <w:t>Zapisuj rzeczywiste obserwacje. Jeżeli nie stwierdzono owadów, wpisz zero; jeżeli nie wykonano kontroli, odnotuj brak kontroli. Przy niepewnym rozpoznaniu wpisz typ obserwacji zamiast zgadywać gatunek.</w:t>
      </w:r>
    </w:p>
    <w:p>
      <w:pPr>
        <w:pStyle w:val="ListBullet"/>
      </w:pPr>
      <w:r>
        <w:t>Częstotliwość i kryteria reakcji ustal na podstawie ryzyka, pory roku, warunków obiektu i przyjętej procedury. Nie ma jednego uniwersalnego progu odłowów ani ustawowej kwartalnej wizyty pasującej do każdej kuchni KGW.</w:t>
      </w:r>
    </w:p>
    <w:p>
      <w:pPr>
        <w:pStyle w:val="ListBullet"/>
      </w:pPr>
      <w:r>
        <w:t>Urządzenia, w tym lampy lepowe, lokalizuj i obsługuj zgodnie z ich przeznaczeniem oraz oceną ryzyka. Nie sytuuj punktów tak, aby owady, odłamki lub elementy urządzenia mogły zanieczyścić odkrytą żywność, naczynia i powierzchnie robocze. Nie utożsamiaj wymiany lepu z pełną oceną bezpieczeństwa.</w:t>
      </w:r>
    </w:p>
    <w:p>
      <w:pPr>
        <w:pStyle w:val="ListBullet"/>
      </w:pPr>
      <w:r>
        <w:t>Przy problemie zabezpiecz żywność i ustal, czy mogła zostać zanieczyszczona. Ogranicz drogi dostępu, usuń źródło problemu i w razie potrzeby wezwij kompetentnego wykonawcę. Zabiegów chemicznych nie wykonuj przypadkowym środkiem w obecności żywności.</w:t>
      </w:r>
    </w:p>
    <w:p>
      <w:pPr>
        <w:pStyle w:val="ListBullet"/>
      </w:pPr>
      <w:r>
        <w:t>Po działaniu sprawdź skuteczność i zapisz wynik, także gdy problem trwa. Czynności administratora budynku i koła uzgodnij na piśmie. Ten rejestr obejmuje owady; ochrona przed gryzoniami i innymi szkodnikami wymaga odpowiedniego zakresu w odrębnej lub rozszerzonej procedurze.</w:t>
      </w:r>
    </w:p>
    <w:p>
      <w:pPr>
        <w:pStyle w:val="Heading1"/>
      </w:pPr>
      <w:r>
        <w:t>Przykład objaśniający</w:t>
      </w:r>
    </w:p>
    <w:p>
      <w:r>
        <w:t>Przykład wyłącznie fikcyjny: punkt O2 przy zapleczu; 14 listopada stwierdzono 3 owady o nieustalonym gatunku i uszkodzenie siatki. Zgłoszono administratorowi naprawę, zabezpieczono strefę i wyznaczono dodatkową kontrolę po naprawie. Liczba 3 nie jest uniwersalnym progiem dopuszczalności.</w:t>
      </w:r>
    </w:p>
    <w:p>
      <w:pPr>
        <w:pStyle w:val="Heading1"/>
      </w:pPr>
      <w:r>
        <w:t>Podstawy do sprawdzenia</w:t>
      </w:r>
    </w:p>
    <w:p>
      <w:pPr>
        <w:pStyle w:val="ListBullet"/>
      </w:pPr>
      <w:r>
        <w:t>Rozporządzenie WE nr 852/2004 w sprawie higieny środków spożywczych art 5 oraz załącznik II w szczególności rozdział IX pkt 4 o procedurach kontroli szkodników</w:t>
      </w:r>
    </w:p>
    <w:p>
      <w:pPr>
        <w:pStyle w:val="ListBullet"/>
      </w:pPr>
      <w:r>
        <w:t>Rozporządzenie WE nr 178/2002 w szczególności art 14 i art 17 dotyczące bezpieczeństwa żywności i odpowiedzialności podmiotów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szkoleniakgw.pl/rejestr-monitorowania-owadow-kgw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Rejestr monitorowania owadów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