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Pomocniczy rejestr składek członkowskich KGW</w:t>
      </w:r>
    </w:p>
    <w:p>
      <w:r>
        <w:t>Pomaga uzgodnić składki z rzeczywistymi wpłatami. Nie zastępuje uchwały o składkach, wyciągu bankowego, dowodów kasowych ani wymaganej ewidencji księgowej.</w:t>
      </w:r>
    </w:p>
    <w:p>
      <w:pPr>
        <w:spacing w:after="120"/>
      </w:pPr>
      <w:r>
        <w:rPr>
          <w:b/>
        </w:rPr>
        <w:t xml:space="preserve">Nazwa KGW i rok: </w:t>
      </w:r>
      <w:r>
        <w:t>[uzupełnij]</w:t>
      </w:r>
    </w:p>
    <w:p>
      <w:pPr>
        <w:spacing w:after="120"/>
      </w:pPr>
      <w:r>
        <w:rPr>
          <w:b/>
        </w:rPr>
        <w:t xml:space="preserve">Podstawa ustalenia składki: </w:t>
      </w:r>
      <w:r>
        <w:t>[uzupełnij]</w:t>
      </w:r>
    </w:p>
    <w:p>
      <w:pPr>
        <w:spacing w:after="120"/>
      </w:pPr>
      <w:r>
        <w:rPr>
          <w:b/>
        </w:rPr>
        <w:t xml:space="preserve">Kwota, okres i termin płatności: </w:t>
      </w:r>
      <w:r>
        <w:t>[uzupełnij]</w:t>
      </w:r>
    </w:p>
    <w:p>
      <w:pPr>
        <w:spacing w:after="120"/>
      </w:pPr>
      <w:r>
        <w:rPr>
          <w:b/>
        </w:rPr>
        <w:t xml:space="preserve">Osoba prowadząca rejestr: </w:t>
      </w:r>
      <w:r>
        <w:t>[uzupełnij]</w:t>
      </w:r>
    </w:p>
    <w:p>
      <w:pPr>
        <w:pStyle w:val="Heading1"/>
      </w:pPr>
      <w:r>
        <w:t>Uzgodnienie wpłat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rHeight w:val="418"/>
          <w:tblHeader/>
          <w:cantSplit/>
        </w:trPr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Członek lub wewnętrzny identyfikator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Okres i należność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Wpłata i data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Nr dowodu i różnica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</w:tbl>
    <w:p>
      <w:pPr>
        <w:spacing w:after="40" w:line="20" w:lineRule="exact"/>
      </w:pPr>
      <w:r>
        <w:rPr>
          <w:sz w:val="2"/>
        </w:rPr>
        <w:t xml:space="preserve"> </w:t>
      </w:r>
    </w:p>
    <w:p>
      <w:pPr>
        <w:pStyle w:val="Heading1"/>
      </w:pPr>
      <w:r>
        <w:t>Podsumowanie okresu</w:t>
      </w:r>
    </w:p>
    <w:p>
      <w:pPr>
        <w:spacing w:after="120"/>
      </w:pPr>
      <w:r>
        <w:rPr>
          <w:b/>
        </w:rPr>
        <w:t xml:space="preserve">Suma należności według obowiązujących decyzji: </w:t>
      </w:r>
      <w:r>
        <w:t>[uzupełnij]</w:t>
      </w:r>
    </w:p>
    <w:p>
      <w:pPr>
        <w:spacing w:after="120"/>
      </w:pPr>
      <w:r>
        <w:rPr>
          <w:b/>
        </w:rPr>
        <w:t xml:space="preserve">Suma faktycznych wpłat po uzgodnieniu z dowodami: </w:t>
      </w:r>
      <w:r>
        <w:t>[uzupełnij]</w:t>
      </w:r>
    </w:p>
    <w:p>
      <w:pPr>
        <w:spacing w:after="120"/>
      </w:pPr>
      <w:r>
        <w:rPr>
          <w:b/>
        </w:rPr>
        <w:t xml:space="preserve">Zaległości, nadpłaty i korekty wymagające wyjaśnienia: </w:t>
      </w:r>
      <w:r>
        <w:t>[uzupełnij]</w:t>
      </w:r>
    </w:p>
    <w:p>
      <w:pPr>
        <w:spacing w:after="120"/>
      </w:pPr>
      <w:r>
        <w:rPr>
          <w:b/>
        </w:rPr>
        <w:t xml:space="preserve">Osoba sprawdzająca i data: </w:t>
      </w:r>
      <w:r>
        <w:t>[uzupełnij]</w:t>
      </w:r>
    </w:p>
    <w:p>
      <w:pPr>
        <w:pStyle w:val="Heading1"/>
        <w:pageBreakBefore/>
      </w:pPr>
      <w:r>
        <w:t>Instrukcja wypełnienia</w:t>
      </w:r>
    </w:p>
    <w:p>
      <w:r>
        <w:t>Tę część zachowaj jako pomoc. Przed podpisaniem formularza uzupełnij pola w nawiasach, usuń niewłaściwe warianty i sprawdź dokument na podstawie rzeczywistych danych.</w:t>
      </w:r>
    </w:p>
    <w:p>
      <w:pPr>
        <w:pStyle w:val="ListBullet"/>
      </w:pPr>
      <w:r>
        <w:t>Wysokość i termin składki wynikają z właściwych zasad koła. Rejestr nie ustanawia nowej składki ani samodzielnej kary za opóźnienie.</w:t>
      </w:r>
    </w:p>
    <w:p>
      <w:pPr>
        <w:pStyle w:val="ListBullet"/>
      </w:pPr>
      <w:r>
        <w:t>Przy każdej wpłacie zapiszcie dowód i okres, którego dotyczy. Nie wykazujcie tej samej wpłaty dwukrotnie jako składki oraz darowizny.</w:t>
      </w:r>
    </w:p>
    <w:p>
      <w:pPr>
        <w:pStyle w:val="ListBullet"/>
      </w:pPr>
      <w:r>
        <w:t>Dane o zaległościach nie powinny być publiczną tablicą oceniania członków. Udostępniajcie rejestr tylko w uzasadnionym zakresie.</w:t>
      </w:r>
    </w:p>
    <w:p>
      <w:pPr>
        <w:pStyle w:val="ListBullet"/>
      </w:pPr>
      <w:r>
        <w:t>Nie zbierajcie tu PESEL, adresów, danych o zdrowiu ani powodów trudnej sytuacji życiowej. Ewentualne decyzje o ulgach dokumentujcie odrębnie.</w:t>
      </w:r>
    </w:p>
    <w:p>
      <w:pPr>
        <w:pStyle w:val="ListBullet"/>
      </w:pPr>
      <w:r>
        <w:t>Skutki braku wpłaty, ulgi i zwroty sprawdźcie w statucie i właściwych uchwałach. Nie wykreślajcie członka z listy tylko na podstawie czerwonego pola w tabeli.</w:t>
      </w:r>
    </w:p>
    <w:p>
      <w:pPr>
        <w:pStyle w:val="ListBullet"/>
      </w:pPr>
      <w:r>
        <w:t>Uzgadniajcie zestawienie z bankiem i kasą. Księgowe oraz podatkowe ujęcie składek wymaga właściwej kwalifikacji.</w:t>
      </w:r>
    </w:p>
    <w:p>
      <w:pPr>
        <w:pStyle w:val="Heading1"/>
      </w:pPr>
      <w:r>
        <w:t>Przykład objaśniający</w:t>
      </w:r>
    </w:p>
    <w:p>
      <w:r>
        <w:t>Przykład fikcyjny: składka należna 40 zł, faktyczna wpłata 50 zł. Rejestr pokazuje nadpłatę 10 zł do wyjaśnienia, a nie automatyczną darowiznę. Przeniesienie jej na kolejny okres wymaga prawidłowego ustalenia.</w:t>
      </w:r>
    </w:p>
    <w:p>
      <w:pPr>
        <w:pStyle w:val="Heading1"/>
      </w:pPr>
      <w:r>
        <w:t>Podstawy do sprawdzenia</w:t>
      </w:r>
    </w:p>
    <w:p>
      <w:pPr>
        <w:pStyle w:val="ListBullet"/>
      </w:pPr>
      <w:r>
        <w:t>Ustawa o kołach gospodyń wiejskich</w:t>
      </w:r>
    </w:p>
    <w:p>
      <w:pPr>
        <w:pStyle w:val="ListBullet"/>
      </w:pPr>
      <w:r>
        <w:t>Statut i właściwe uchwały danego koła</w:t>
      </w:r>
    </w:p>
    <w:p>
      <w:pPr>
        <w:pStyle w:val="ListBullet"/>
      </w:pPr>
      <w:r>
        <w:t>RODO, art. 5 zasady przetwarzania danych</w:t>
      </w:r>
    </w:p>
    <w:p>
      <w:r>
        <w:t>Autorski wzór pomocniczy SzkoleniaKGW.pl. Wersja 16 października 2026. Nie jest urzędowym formularzem ani indywidualną opinią prawną. Odpowiedzialna osoba w kole dopasowuje go do statutu, rzeczywistego zdarzenia i warunków finansowania.</w:t>
      </w:r>
    </w:p>
    <w:p>
      <w:r>
        <w:t>Podgląd i powiązane porady: szkoleniakgw.pl/rejestr-skladek-czlonkowskich-kgw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SzkoleniaKGW.pl | 16 października 2026 | Strona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Arial" w:hAnsi="Arial"/>
      <w:color w:val="000000"/>
      <w:sz w:val="22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Pomocniczy rejestr składek członkowskich KGW</dc:title>
  <dc:subject>Wzór pomocniczy do uzupełnienia</dc:subject>
  <dc:creator>Redakcja SzkoleniaKGW.pl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</cp:coreProperties>
</file>