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Rejestr temperatur KGW</w:t>
      </w:r>
    </w:p>
    <w:p>
      <w:r>
        <w:t>Roboczy zapis rzeczywistych pomiarów dla jednego urządzenia, produktu lub etapu procesu. Kryterium i częstość kontroli ustala się dla danego zastosowania. Wzór nie ustanawia uniwersalnych temperatur dla wszystkich potraw i nie zastępuje analizy zagrożeń ani procedur higienicznych.</w:t>
      </w:r>
    </w:p>
    <w:p>
      <w:pPr>
        <w:spacing w:after="120"/>
      </w:pPr>
      <w:r>
        <w:rPr>
          <w:b/>
        </w:rPr>
        <w:t xml:space="preserve">Nazwa KGW i miejsce: </w:t>
      </w:r>
      <w:r>
        <w:t>[uzupełnij]</w:t>
      </w:r>
    </w:p>
    <w:p>
      <w:pPr>
        <w:spacing w:after="120"/>
      </w:pPr>
      <w:r>
        <w:rPr>
          <w:b/>
        </w:rPr>
        <w:t xml:space="preserve">Okres od do: </w:t>
      </w:r>
      <w:r>
        <w:t>[uzupełnij]</w:t>
      </w:r>
    </w:p>
    <w:p>
      <w:pPr>
        <w:spacing w:after="120"/>
      </w:pPr>
      <w:r>
        <w:rPr>
          <w:b/>
        </w:rPr>
        <w:t xml:space="preserve">Urządzenie produkt lub etap i jego oznaczenie: </w:t>
      </w:r>
      <w:r>
        <w:t>[uzupełnij]</w:t>
      </w:r>
    </w:p>
    <w:p>
      <w:pPr>
        <w:spacing w:after="120"/>
      </w:pPr>
      <w:r>
        <w:rPr>
          <w:b/>
        </w:rPr>
        <w:t xml:space="preserve">Procedura i jej wersja: </w:t>
      </w:r>
      <w:r>
        <w:t>[uzupełnij]</w:t>
      </w:r>
    </w:p>
    <w:p>
      <w:pPr>
        <w:spacing w:after="120"/>
      </w:pPr>
      <w:r>
        <w:rPr>
          <w:b/>
        </w:rPr>
        <w:t xml:space="preserve">Rodzaj pomiaru powietrze lub żywność i sposób pomiaru: </w:t>
      </w:r>
      <w:r>
        <w:t>[uzupełnij]</w:t>
      </w:r>
    </w:p>
    <w:p>
      <w:pPr>
        <w:spacing w:after="120"/>
      </w:pPr>
      <w:r>
        <w:rPr>
          <w:b/>
        </w:rPr>
        <w:t xml:space="preserve">Dopuszczalne kryterium wraz ze źródłem jego ustalenia: </w:t>
      </w:r>
      <w:r>
        <w:t>[uzupełnij]</w:t>
      </w:r>
    </w:p>
    <w:p>
      <w:pPr>
        <w:spacing w:after="120"/>
      </w:pPr>
      <w:r>
        <w:rPr>
          <w:b/>
        </w:rPr>
        <w:t xml:space="preserve">Termometr identyfikator i sposób sprawdzenia jego działania: </w:t>
      </w:r>
      <w:r>
        <w:t>[uzupełnij]</w:t>
      </w:r>
    </w:p>
    <w:p>
      <w:pPr>
        <w:spacing w:after="120"/>
      </w:pPr>
      <w:r>
        <w:rPr>
          <w:b/>
        </w:rPr>
        <w:t xml:space="preserve">Częstotliwość kontroli i osoba odpowiedzialna: </w:t>
      </w:r>
      <w:r>
        <w:t>[uzupełnij]</w:t>
      </w:r>
    </w:p>
    <w:p>
      <w:pPr>
        <w:pStyle w:val="Heading1"/>
      </w:pPr>
      <w:r>
        <w:t>Pomiary rzeczywiste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rHeight w:val="418"/>
          <w:tblHeader/>
          <w:cantSplit/>
        </w:trPr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Data i godzina</w:t>
            </w:r>
          </w:p>
        </w:tc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Wynik °C</w:t>
            </w:r>
          </w:p>
        </w:tc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Zgodny z kryterium tak lub nie</w:t>
            </w:r>
          </w:p>
        </w:tc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Działanie i numer zapisu odchylenia</w:t>
            </w:r>
          </w:p>
        </w:tc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Osoba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Odchylenie i decyzja o żywności</w:t>
      </w:r>
    </w:p>
    <w:p>
      <w:pPr>
        <w:spacing w:after="120"/>
      </w:pPr>
      <w:r>
        <w:rPr>
          <w:b/>
        </w:rPr>
        <w:t xml:space="preserve">Data godzina i opis odchylenia: </w:t>
      </w:r>
      <w:r>
        <w:t>[uzupełnij]</w:t>
      </w:r>
    </w:p>
    <w:p>
      <w:pPr>
        <w:spacing w:after="120"/>
      </w:pPr>
      <w:r>
        <w:rPr>
          <w:b/>
        </w:rPr>
        <w:t xml:space="preserve">Jakie produkty partie i czas mogły być objęte problemem: </w:t>
      </w:r>
      <w:r>
        <w:t>[uzupełnij]</w:t>
      </w:r>
    </w:p>
    <w:p>
      <w:pPr>
        <w:spacing w:after="120"/>
      </w:pPr>
      <w:r>
        <w:rPr>
          <w:b/>
        </w:rPr>
        <w:t xml:space="preserve">Podjęte zabezpieczenie oraz sprawdzenie przyczyny: </w:t>
      </w:r>
      <w:r>
        <w:t>[uzupełnij]</w:t>
      </w:r>
    </w:p>
    <w:p>
      <w:pPr>
        <w:spacing w:after="120"/>
      </w:pPr>
      <w:r>
        <w:rPr>
          <w:b/>
        </w:rPr>
        <w:t xml:space="preserve">Powtórny pomiar czas i wynik: </w:t>
      </w:r>
      <w:r>
        <w:t>[uzupełnij]</w:t>
      </w:r>
    </w:p>
    <w:p>
      <w:pPr>
        <w:spacing w:after="120"/>
      </w:pPr>
      <w:r>
        <w:rPr>
          <w:b/>
        </w:rPr>
        <w:t xml:space="preserve">Decyzja o dalszym postępowaniu z żywnością kto i na jakiej podstawie: </w:t>
      </w:r>
      <w:r>
        <w:t>[uzupełnij]</w:t>
      </w:r>
    </w:p>
    <w:p>
      <w:pPr>
        <w:spacing w:after="120"/>
      </w:pPr>
      <w:r>
        <w:rPr>
          <w:b/>
        </w:rPr>
        <w:t xml:space="preserve">Osoba sprawdzająca zapis i data: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Przed rozpoczęciem uzupełnij kryterium na podstawie rodzaju żywności, oznakowania, odpowiednich przepisów i przyjętej procedury opartej na analizie zagrożeń. Nie kopiuj jednej temperatury dla lodówki, mroźni, transportu i wydawania potraw na ciepło.</w:t>
      </w:r>
    </w:p>
    <w:p>
      <w:pPr>
        <w:pStyle w:val="ListBullet"/>
      </w:pPr>
      <w:r>
        <w:t>Odróżniaj temperaturę powietrza w urządzeniu od temperatury produktu. Odczyt wyświetlacza chłodziarki nie potwierdza samodzielnie temperatury każdej partii żywności. Rodzaj, miejsce i sposób pomiaru muszą odpowiadać kontrolowanemu etapowi.</w:t>
      </w:r>
    </w:p>
    <w:p>
      <w:pPr>
        <w:pStyle w:val="ListBullet"/>
      </w:pPr>
      <w:r>
        <w:t>Częstotliwość ustal adekwatnie do procesu i ryzyka, również przy rozruchu urządzenia, dostawie, transporcie i zauważonej awarii. Nie uzupełniaj braków z pamięci. Przy braku pomiaru odnotuj brak i podejmij ocenę sytuacji, zamiast wpisywać prawidłowy wynik.</w:t>
      </w:r>
    </w:p>
    <w:p>
      <w:pPr>
        <w:pStyle w:val="ListBullet"/>
      </w:pPr>
      <w:r>
        <w:t>Używaj odpowiedniego termometru, sprawdzaj jego działanie zgodnie z przyjętymi zasadami i utrzymuj sondę w higienie między pomiarami. Pomiar bezdotykowy powierzchni nie zawsze zastępuje pomiar wewnątrz potrawy.</w:t>
      </w:r>
    </w:p>
    <w:p>
      <w:pPr>
        <w:pStyle w:val="ListBullet"/>
      </w:pPr>
      <w:r>
        <w:t>Przy przekroczeniu kryterium zabezpiecz żywność, wyjaśnij przyczynę i oceń czas oraz warunki narażenia. Sam powrót temperatury urządzenia do normy nie dowodzi bezpieczeństwa wcześniej przechowywanej żywności. Decyzję o partii podejmuje się na podstawie procedury i oceny ryzyka.</w:t>
      </w:r>
    </w:p>
    <w:p>
      <w:pPr>
        <w:pStyle w:val="ListBullet"/>
      </w:pPr>
      <w:r>
        <w:t>Rejestr nie jest zatwierdzeniem kuchni przez inspekcję. Dopasuj dokumentację do rodzaju działalności koła i stosowanego systemu bezpieczeństwa żywności, a okres przechowywania zapisów ustal w tej dokumentacji i z uwzględnieniem obowiązujących wymagań.</w:t>
      </w:r>
    </w:p>
    <w:p>
      <w:pPr>
        <w:pStyle w:val="Heading1"/>
      </w:pPr>
      <w:r>
        <w:t>Przykład objaśniający</w:t>
      </w:r>
    </w:p>
    <w:p>
      <w:r>
        <w:t>Przykład wyłącznie fikcyjny: chłodziarka CH1; pomiar powietrza 3,8°C o 08.00. Osoba kontrolująca porównuje odczyt z kryterium wcześniej ustalonym dla tej chłodziarki i przechowywanych produktów. Wartość z przykładu nie jest rekomendacją ani uniwersalnym limitem.</w:t>
      </w:r>
    </w:p>
    <w:p>
      <w:pPr>
        <w:pStyle w:val="Heading1"/>
      </w:pPr>
      <w:r>
        <w:t>Podstawy do sprawdzenia</w:t>
      </w:r>
    </w:p>
    <w:p>
      <w:pPr>
        <w:pStyle w:val="ListBullet"/>
      </w:pPr>
      <w:r>
        <w:t>Rozporządzenie WE nr 852/2004 w sprawie higieny środków spożywczych art 5 oraz załącznik II w szczególności rozdział IX</w:t>
      </w:r>
    </w:p>
    <w:p>
      <w:pPr>
        <w:pStyle w:val="ListBullet"/>
      </w:pPr>
      <w:r>
        <w:t>Rozporządzenie WE nr 178/2002 w szczególności art 14 i art 17 dotyczące bezpieczeństwa żywności i odpowiedzialności podmiotów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szkoleniakgw.pl/rejestr-temperatur-kgw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Rejestr temperatur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